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c="http://schemas.openxmlformats.org/drawingml/2006/chart" mc:Ignorable="w14 w15 w16se w16cid w16 w16cex w16sdtdh w16du wp14">
  <w:body>
    <w:p w14:paraId="2D20D5F3" w14:textId="56E634E5" w:rsidR="00D02104" w:rsidRDefault="00D02104" w:rsidP="00D02104">
      <w:pPr>
        <w:pStyle w:val="ekvue2arial"/>
      </w:pPr>
      <w:r>
        <w:t xml:space="preserve">Die </w:t>
      </w:r>
      <w:r w:rsidR="00AF5C4B">
        <w:t>Schuldenbremse – Teil 1</w:t>
      </w:r>
    </w:p>
    <w:p w14:paraId="5277997D" w14:textId="77777777" w:rsidR="00D02104" w:rsidRPr="005B216C" w:rsidRDefault="00D02104" w:rsidP="00D02104">
      <w:pPr>
        <w:pStyle w:val="ekvaufzhlung"/>
        <w:rPr>
          <w:rFonts w:cs="Arial"/>
          <w:sz w:val="22"/>
        </w:rPr>
      </w:pPr>
    </w:p>
    <w:p w14:paraId="0B52D0D4" w14:textId="446AA281" w:rsidR="00D02104" w:rsidRPr="00BB27EB" w:rsidRDefault="00D02104" w:rsidP="00D02104">
      <w:pPr>
        <w:pStyle w:val="ekvue3arial"/>
      </w:pPr>
      <w:r w:rsidRPr="00D02104">
        <w:rPr>
          <w:shd w:val="clear" w:color="auto" w:fill="D0CECE" w:themeFill="background2" w:themeFillShade="E6"/>
        </w:rPr>
        <w:t>M1</w:t>
      </w:r>
      <w:r w:rsidRPr="00BB27EB">
        <w:t xml:space="preserve"> </w:t>
      </w:r>
      <w:r w:rsidR="00AF5C4B">
        <w:t>Schuldenstandquote der BRS</w:t>
      </w:r>
    </w:p>
    <w:p w14:paraId="03220B58" w14:textId="3397A03F" w:rsidR="00D02104" w:rsidRPr="005B216C" w:rsidRDefault="00AF5C4B" w:rsidP="00D02104">
      <w:pPr>
        <w:pStyle w:val="ekvaufzhlung"/>
        <w:rPr>
          <w:noProof/>
        </w:rPr>
      </w:pPr>
      <w:r>
        <w:rPr>
          <w:rFonts w:cs="Arial"/>
          <w:b/>
          <w:bCs/>
          <w:noProof/>
          <w:sz w:val="22"/>
        </w:rPr>
        <w:drawing>
          <wp:anchor distT="0" distB="0" distL="114300" distR="114300" simplePos="0" relativeHeight="251662336" behindDoc="0" locked="0" layoutInCell="1" allowOverlap="1" wp14:anchorId="340278D1" wp14:editId="5AEB6DF2">
            <wp:simplePos x="0" y="0"/>
            <wp:positionH relativeFrom="margin">
              <wp:align>left</wp:align>
            </wp:positionH>
            <wp:positionV relativeFrom="paragraph">
              <wp:posOffset>160655</wp:posOffset>
            </wp:positionV>
            <wp:extent cx="5486400" cy="3200400"/>
            <wp:effectExtent l="0" t="0" r="0" b="0"/>
            <wp:wrapTopAndBottom/>
            <wp:docPr id="2017251770"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5468C4B8" w14:textId="4466B76D" w:rsidR="00AF5C4B" w:rsidRDefault="00AF5C4B" w:rsidP="00AF5C4B">
      <w:pPr>
        <w:rPr>
          <w:shd w:val="clear" w:color="auto" w:fill="D0CECE" w:themeFill="background2" w:themeFillShade="E6"/>
        </w:rPr>
      </w:pPr>
    </w:p>
    <w:p w14:paraId="321D2E27" w14:textId="4FADAA3D" w:rsidR="00D02104" w:rsidRDefault="00D02104" w:rsidP="00AF5C4B">
      <w:r w:rsidRPr="00D02104">
        <w:rPr>
          <w:shd w:val="clear" w:color="auto" w:fill="D0CECE" w:themeFill="background2" w:themeFillShade="E6"/>
        </w:rPr>
        <w:t>M2</w:t>
      </w:r>
      <w:r w:rsidRPr="00BB27EB">
        <w:t xml:space="preserve"> </w:t>
      </w:r>
      <w:r w:rsidR="00AF5C4B" w:rsidRPr="00AF5C4B">
        <w:rPr>
          <w:b/>
          <w:bCs/>
        </w:rPr>
        <w:t>Gesamtverschuldung der BRD</w:t>
      </w:r>
    </w:p>
    <w:p w14:paraId="21001E50" w14:textId="77777777" w:rsidR="00AF5C4B" w:rsidRDefault="00AF5C4B" w:rsidP="00D02104">
      <w:pPr>
        <w:pStyle w:val="ekvue3arial"/>
      </w:pPr>
    </w:p>
    <w:p w14:paraId="052D6E24" w14:textId="57235E80" w:rsidR="00AF5C4B" w:rsidRDefault="00AF5C4B" w:rsidP="00D02104">
      <w:pPr>
        <w:pStyle w:val="ekvue3arial"/>
      </w:pPr>
      <w:r>
        <w:rPr>
          <w:rFonts w:cs="Arial"/>
          <w:b w:val="0"/>
          <w:bCs/>
          <w:noProof/>
          <w:sz w:val="22"/>
        </w:rPr>
        <w:drawing>
          <wp:anchor distT="0" distB="0" distL="114300" distR="114300" simplePos="0" relativeHeight="251664384" behindDoc="0" locked="0" layoutInCell="1" allowOverlap="1" wp14:anchorId="02ED2B0C" wp14:editId="5F9916F7">
            <wp:simplePos x="0" y="0"/>
            <wp:positionH relativeFrom="page">
              <wp:posOffset>810260</wp:posOffset>
            </wp:positionH>
            <wp:positionV relativeFrom="margin">
              <wp:posOffset>4578985</wp:posOffset>
            </wp:positionV>
            <wp:extent cx="5486400" cy="3200400"/>
            <wp:effectExtent l="0" t="0" r="0" b="0"/>
            <wp:wrapTopAndBottom/>
            <wp:docPr id="1779670776"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A93ECE0" w14:textId="77777777" w:rsidR="00AF5C4B" w:rsidRDefault="00AF5C4B" w:rsidP="00D02104">
      <w:pPr>
        <w:pStyle w:val="ekvue3arial"/>
      </w:pPr>
    </w:p>
    <w:p w14:paraId="33D5B5F1" w14:textId="77777777" w:rsidR="00AF5C4B" w:rsidRDefault="00AF5C4B" w:rsidP="00D02104">
      <w:pPr>
        <w:pStyle w:val="ekvue3arial"/>
      </w:pPr>
    </w:p>
    <w:p w14:paraId="42FEDCE4" w14:textId="77777777" w:rsidR="00AF5C4B" w:rsidRDefault="00AF5C4B" w:rsidP="00D02104">
      <w:pPr>
        <w:pStyle w:val="ekvue3arial"/>
      </w:pPr>
    </w:p>
    <w:p w14:paraId="5947982D" w14:textId="77777777" w:rsidR="00AF5C4B" w:rsidRPr="00BB27EB" w:rsidRDefault="00AF5C4B" w:rsidP="00D02104">
      <w:pPr>
        <w:pStyle w:val="ekvue3arial"/>
      </w:pPr>
    </w:p>
    <w:p w14:paraId="400D465E" w14:textId="6C02D9CE" w:rsidR="00AF5C4B" w:rsidRDefault="00AF5C4B" w:rsidP="00AF5C4B">
      <w:pPr>
        <w:pStyle w:val="ekvue3arial"/>
      </w:pPr>
      <w:r w:rsidRPr="00D02104">
        <w:rPr>
          <w:shd w:val="clear" w:color="auto" w:fill="D0CECE" w:themeFill="background2" w:themeFillShade="E6"/>
        </w:rPr>
        <w:lastRenderedPageBreak/>
        <w:t>M</w:t>
      </w:r>
      <w:r>
        <w:rPr>
          <w:shd w:val="clear" w:color="auto" w:fill="D0CECE" w:themeFill="background2" w:themeFillShade="E6"/>
        </w:rPr>
        <w:t>3</w:t>
      </w:r>
      <w:r w:rsidRPr="00BB27EB">
        <w:t xml:space="preserve"> </w:t>
      </w:r>
      <w:r>
        <w:t>Einführung der Schuldenbremse</w:t>
      </w:r>
    </w:p>
    <w:p w14:paraId="1ACEBF21" w14:textId="77777777" w:rsidR="00AF5C4B" w:rsidRDefault="00AF5C4B" w:rsidP="00AF5C4B">
      <w:pPr>
        <w:pStyle w:val="ekvue3arial"/>
      </w:pPr>
    </w:p>
    <w:p w14:paraId="7CF379D0" w14:textId="70D98BF1" w:rsidR="00AF5C4B" w:rsidRDefault="00AF5C4B" w:rsidP="00AF5C4B">
      <w:r>
        <w:t>Mitten in der Finanz- und Wirtschaftskrise von 2008/2009 beschloss Deutschland eine Reform, um die Staatsverschuldung zu begrenzen. Diese Reform wird als „Föderalismusreform II“ bezeichnet. Das Ziel war, die Finanzen von Bund und Ländern langfristig zu stabilisieren und die Möglichkeit, neue Schulden aufzunehmen, stark einzuschränken. Am 29. Mai 2009 stimmte der Bundestag mit der erforderlichen Zweidrittelmehrheit für die Einführung der sogenannten Schuldenbremse. Die damalige Bundeskanzlerin Angela Merkel erklärte, dass mit der Schuldenbremse die Grundlage für eine nachhaltige und stabile Finanzpolitik geschaffen werde. Dies solle gewährleisten, dass künftige Generationen nicht die Last der Schulden tragen müssten.</w:t>
      </w:r>
    </w:p>
    <w:p w14:paraId="09F47836" w14:textId="77777777" w:rsidR="00AF5C4B" w:rsidRDefault="00AF5C4B" w:rsidP="00AF5C4B"/>
    <w:p w14:paraId="3188AC30" w14:textId="07A87DCD" w:rsidR="00AF5C4B" w:rsidRDefault="00AF5C4B" w:rsidP="00AF5C4B">
      <w:r>
        <w:t xml:space="preserve">Diese Schuldenbremse soll sicherstellen, dass die Haushalte von Bund und Ländern grundsätzlich ohne neue Kredite ausgeglichen sind. Nur in sehr engen Ausnahmen dürfen noch Kredite aufgenommen werden, die dann auch zurückgezahlt werden müssen. Außerdem soll die Reform dazu beitragen, dass Deutschland die Vorgaben des europäischen Stabilitäts- und Wachstumspakts einhält. </w:t>
      </w:r>
    </w:p>
    <w:p w14:paraId="2E6202C8" w14:textId="77777777" w:rsidR="00AF5C4B" w:rsidRDefault="00AF5C4B" w:rsidP="00AF5C4B"/>
    <w:p w14:paraId="2A8157AD" w14:textId="63CC6450" w:rsidR="00AF5C4B" w:rsidRDefault="00AF5C4B" w:rsidP="00AF5C4B">
      <w:r>
        <w:t>Die Reform stieß nicht nur auf Zustimmung. Kritiker befürchteten, dass dadurch Investitionen, insbesondere in Bildung, gekürzt werden könnten. Außerdem wurde kritisiert, dass die Schuldenbremse die finanzielle Eigenständigkeit der Bundesländer einschränkt. Dennoch stimmten bei der namentlichen Abstimmung 418 Abgeordnete im Bundestag dafür, 109 dagegen, und 48 enthielten sich. Auch der Bundesrat bestätigte die Grundgesetzänderung, wobei sich nur Berlin, Mecklenburg-Vorpommern und Schleswig-Holstein enthielten.</w:t>
      </w:r>
    </w:p>
    <w:p w14:paraId="01BBF0E2" w14:textId="77777777" w:rsidR="00AF5C4B" w:rsidRDefault="00AF5C4B" w:rsidP="00AF5C4B"/>
    <w:p w14:paraId="32637BBB" w14:textId="296DA701" w:rsidR="00AF5C4B" w:rsidRDefault="00AF5C4B" w:rsidP="00AF5C4B">
      <w:r>
        <w:t>Am 1. August 2009 trat die Änderung des Grundgesetzes in Kraft. Seitdem heißt es in Artikel 109 (3): „Die Haushalte von Bund und Ländern sind grundsätzlich ohne Einnahmen aus Krediten auszugleichen.“ Acht Bundesländer haben die Schuldenbremse zusätzlich in ihre jeweiligen Landesverfassungen aufgenommen.</w:t>
      </w:r>
    </w:p>
    <w:p w14:paraId="4E05B643" w14:textId="77777777" w:rsidR="00AF5C4B" w:rsidRDefault="00AF5C4B" w:rsidP="00AF5C4B"/>
    <w:p w14:paraId="72BBED3F" w14:textId="77777777" w:rsidR="00AF5C4B" w:rsidRDefault="00AF5C4B" w:rsidP="00AF5C4B"/>
    <w:p w14:paraId="1947F642" w14:textId="3EB0E5D6" w:rsidR="00AF5C4B" w:rsidRDefault="00AF5C4B" w:rsidP="00AF5C4B">
      <w:pPr>
        <w:pStyle w:val="ekvue3arial"/>
      </w:pPr>
      <w:r w:rsidRPr="00D02104">
        <w:rPr>
          <w:shd w:val="clear" w:color="auto" w:fill="D0CECE" w:themeFill="background2" w:themeFillShade="E6"/>
        </w:rPr>
        <w:t>M</w:t>
      </w:r>
      <w:r>
        <w:rPr>
          <w:shd w:val="clear" w:color="auto" w:fill="D0CECE" w:themeFill="background2" w:themeFillShade="E6"/>
        </w:rPr>
        <w:t>4</w:t>
      </w:r>
      <w:r w:rsidRPr="00BB27EB">
        <w:t xml:space="preserve"> </w:t>
      </w:r>
      <w:r>
        <w:t>Die Vorgaben der Schuldenbremse</w:t>
      </w:r>
    </w:p>
    <w:p w14:paraId="78BF0D20" w14:textId="77777777" w:rsidR="00AF5C4B" w:rsidRDefault="00AF5C4B" w:rsidP="00AF5C4B">
      <w:pPr>
        <w:pStyle w:val="ekvue3arial"/>
      </w:pPr>
    </w:p>
    <w:p w14:paraId="05D335BE" w14:textId="77777777" w:rsidR="00AF5C4B" w:rsidRDefault="00AF5C4B" w:rsidP="00AF5C4B">
      <w:r>
        <w:t>Die Schuldenbremse, die im Zuge der Föderalismusreform II eingeführt wurde, soll die Neuverschuldung von Bund und Ländern in Deutschland langfristig begrenzen. Der Bundestag stimmte am 29. Mai 2009 mit einer Zweidrittelmehrheit für diese Grundgesetzänderung, die am 1. August 2009 in Kraft trat. Artikel 109 (3) des Grundgesetzes besagt, dass die Haushalte von Bund und Ländern grundsätzlich ohne Kredite ausgeglichen werden müssen.</w:t>
      </w:r>
    </w:p>
    <w:p w14:paraId="12C1639D" w14:textId="77777777" w:rsidR="00AF5C4B" w:rsidRDefault="00AF5C4B" w:rsidP="00AF5C4B"/>
    <w:p w14:paraId="5EA70455" w14:textId="6EAC90FA" w:rsidR="00AF5C4B" w:rsidRDefault="00AF5C4B" w:rsidP="00AF5C4B">
      <w:r>
        <w:t>Seit 2016 darf der Bund seine strukturelle Neuverschuldung auf maximal 0,35 % des Bruttoinlandsprodukts (BIP) beschränken, mit Ausnahmeregelungen für wirtschaftliche Krisenzeiten. Die Länder dürfen seit 2020 keine neuen Schulden mehr aufnehmen. Strukturschwache Länder erhielten bis 2019 finanzielle Unterstützung vom Bund, um ihre Haushalte zu konsolidieren.</w:t>
      </w:r>
    </w:p>
    <w:p w14:paraId="5F1DD4DA" w14:textId="77777777" w:rsidR="00AF5C4B" w:rsidRDefault="00AF5C4B" w:rsidP="00AF5C4B"/>
    <w:p w14:paraId="766FCFAC" w14:textId="77777777" w:rsidR="00AF5C4B" w:rsidRDefault="00AF5C4B" w:rsidP="00AF5C4B">
      <w:pPr>
        <w:rPr>
          <w:bCs/>
        </w:rPr>
      </w:pPr>
    </w:p>
    <w:p w14:paraId="3A7EF8B7" w14:textId="5DE6E7D2" w:rsidR="00AF5C4B" w:rsidRDefault="00AF5C4B" w:rsidP="00AF5C4B">
      <w:pPr>
        <w:pStyle w:val="ekvue3arial"/>
      </w:pPr>
      <w:r w:rsidRPr="00D02104">
        <w:rPr>
          <w:shd w:val="clear" w:color="auto" w:fill="D0CECE" w:themeFill="background2" w:themeFillShade="E6"/>
        </w:rPr>
        <w:t>M</w:t>
      </w:r>
      <w:r>
        <w:rPr>
          <w:shd w:val="clear" w:color="auto" w:fill="D0CECE" w:themeFill="background2" w:themeFillShade="E6"/>
        </w:rPr>
        <w:t>5</w:t>
      </w:r>
      <w:r w:rsidRPr="00BB27EB">
        <w:t xml:space="preserve"> </w:t>
      </w:r>
      <w:r>
        <w:t>Vor- und Nachteile der Schuldenbremse</w:t>
      </w:r>
    </w:p>
    <w:p w14:paraId="34184871" w14:textId="77777777" w:rsidR="00AF5C4B" w:rsidRDefault="00AF5C4B" w:rsidP="00AF5C4B">
      <w:pPr>
        <w:pStyle w:val="ekvue3arial"/>
      </w:pPr>
    </w:p>
    <w:p w14:paraId="5AC6C654" w14:textId="77777777" w:rsidR="00AF5C4B" w:rsidRPr="00AF5C4B" w:rsidRDefault="00AF5C4B" w:rsidP="00AF5C4B">
      <w:pPr>
        <w:rPr>
          <w:rStyle w:val="ekvfett"/>
        </w:rPr>
      </w:pPr>
      <w:r w:rsidRPr="00AF5C4B">
        <w:rPr>
          <w:rStyle w:val="ekvfett"/>
        </w:rPr>
        <w:t>Vorteile der Schuldenbremse:</w:t>
      </w:r>
    </w:p>
    <w:p w14:paraId="16B35AFC" w14:textId="1C8330D8" w:rsidR="00AF5C4B" w:rsidRDefault="00AF5C4B" w:rsidP="00AF5C4B">
      <w:pPr>
        <w:pStyle w:val="Listenabsatz"/>
        <w:numPr>
          <w:ilvl w:val="0"/>
          <w:numId w:val="5"/>
        </w:numPr>
      </w:pPr>
      <w:r>
        <w:t>Nachhaltige Finanzpolitik: Professor Volker Wieland hob in einer Anhörung des Bundestags hervor, dass die Kombination von „schwarzer Null“ (keine neuen Schulden) und Schuldenbremse geholfen habe, die Staatsverschuldung zu kontrollieren. Er plädierte dafür, die Schuldenbremse beizubehalten und lediglich bei tiefen wirtschaftlichen Krisen Ausnahmen zu machen. Die Schuldenbremse sorgt also dafür, dass Bund und Länder ihre Haushalte langfristig ausgeglichen gestalten, ohne sich dauerhaft auf Kredite zu stützen. Dadurch soll die Staatsverschuldung reduziert werden.</w:t>
      </w:r>
    </w:p>
    <w:p w14:paraId="79B6408C" w14:textId="5A289F8E" w:rsidR="00AF5C4B" w:rsidRDefault="00AF5C4B" w:rsidP="00AF5C4B">
      <w:pPr>
        <w:pStyle w:val="Listenabsatz"/>
        <w:numPr>
          <w:ilvl w:val="0"/>
          <w:numId w:val="5"/>
        </w:numPr>
      </w:pPr>
      <w:r>
        <w:t>Schutz künftiger Generationen: FPD-Chef und Finanzminister Christian Lindner verweist in Bezug auf die Schuldenbremse vor allem auf den Schutz künftiger Generationen. Weniger Schulden bedeuten, dass kommende Generationen nicht die Belastung hoher Zins- und Tilgungsverpflichtungen tragen müssen.</w:t>
      </w:r>
    </w:p>
    <w:p w14:paraId="5FD7343E" w14:textId="72BBF838" w:rsidR="00AF5C4B" w:rsidRDefault="00AF5C4B" w:rsidP="00AF5C4B">
      <w:pPr>
        <w:pStyle w:val="Listenabsatz"/>
        <w:numPr>
          <w:ilvl w:val="0"/>
          <w:numId w:val="5"/>
        </w:numPr>
      </w:pPr>
      <w:r>
        <w:lastRenderedPageBreak/>
        <w:t>Stärkung der Glaubwürdigkeit: Eine strenge Begrenzung der Neuverschuldung kann das Vertrauen von Investoren und internationalen Partnern in die finanzielle Stabilität Deutschlands stärken.</w:t>
      </w:r>
    </w:p>
    <w:p w14:paraId="5DFC1240" w14:textId="0A270634" w:rsidR="00AF5C4B" w:rsidRDefault="00AF5C4B" w:rsidP="00AF5C4B">
      <w:pPr>
        <w:pStyle w:val="Listenabsatz"/>
        <w:numPr>
          <w:ilvl w:val="0"/>
          <w:numId w:val="5"/>
        </w:numPr>
      </w:pPr>
      <w:r>
        <w:t xml:space="preserve">Stabilität im Rahmen der EU: Die Schuldenbremse unterstützt die Einhaltung der Vorgaben des europäischen Stabilitäts- und Wachstumspakts, was auch zu einer Stabilisierung der Eurozone beiträgt. Gerade mit Blick auf die Verschuldung anderer EU-Staaten soll Deutschland hier als Vorbild gelten. </w:t>
      </w:r>
    </w:p>
    <w:p w14:paraId="1D956077" w14:textId="77777777" w:rsidR="00AF5C4B" w:rsidRDefault="00AF5C4B" w:rsidP="00AF5C4B"/>
    <w:p w14:paraId="06A2682F" w14:textId="6A4CF5B3" w:rsidR="00AF5C4B" w:rsidRPr="00AF5C4B" w:rsidRDefault="00AF5C4B" w:rsidP="00AF5C4B">
      <w:pPr>
        <w:rPr>
          <w:rStyle w:val="ekvfett"/>
        </w:rPr>
      </w:pPr>
      <w:r w:rsidRPr="00AF5C4B">
        <w:rPr>
          <w:rStyle w:val="ekvfett"/>
        </w:rPr>
        <w:t>Nachteile der Schuldenbremse</w:t>
      </w:r>
    </w:p>
    <w:p w14:paraId="1F839A55" w14:textId="7FFF4D8F" w:rsidR="00AF5C4B" w:rsidRDefault="00AF5C4B" w:rsidP="00AF5C4B">
      <w:pPr>
        <w:pStyle w:val="Listenabsatz"/>
        <w:numPr>
          <w:ilvl w:val="0"/>
          <w:numId w:val="4"/>
        </w:numPr>
      </w:pPr>
      <w:r>
        <w:t xml:space="preserve">Einschränkung der Investitionen: Professor Sebastian </w:t>
      </w:r>
      <w:proofErr w:type="spellStart"/>
      <w:r>
        <w:t>Dullien</w:t>
      </w:r>
      <w:proofErr w:type="spellEnd"/>
      <w:r>
        <w:t xml:space="preserve"> argumentierte in einer Anhörung zur Schuldenbremse, dass die Schuldenbremse für zukünftige Generationen schädlich sein könnte, da sie Investitionen verhindere, die in Zukunft wichtig wären. Die Schuldenbremse könnte also dazu führen, dass der Staat weniger Geld für Investitionen in wichtige Bereiche wie Bildung, Infrastruktur oder Klimaschutz zur Verfügung hat. </w:t>
      </w:r>
    </w:p>
    <w:p w14:paraId="16C47EC1" w14:textId="61D20CAE" w:rsidR="00AF5C4B" w:rsidRDefault="00AF5C4B" w:rsidP="00AF5C4B">
      <w:pPr>
        <w:pStyle w:val="Listenabsatz"/>
        <w:numPr>
          <w:ilvl w:val="0"/>
          <w:numId w:val="4"/>
        </w:numPr>
      </w:pPr>
      <w:r>
        <w:t xml:space="preserve">Begrenzung der Flexibilität: Professor Achim </w:t>
      </w:r>
      <w:proofErr w:type="spellStart"/>
      <w:r>
        <w:t>Truger</w:t>
      </w:r>
      <w:proofErr w:type="spellEnd"/>
      <w:r>
        <w:t xml:space="preserve"> ist der Meinung, dass eine etwas höhere Verschuldung für öffentliche Investitionen sinnvoll sein könnte, besonders zur Stabilisierung der Wirtschaft. Das Verschuldungsniveau solle von einer Kosten-Nutzen-Abwägung abhängen. In wirtschaftlich schwierigen Zeiten oder Krisen schränkt die Schuldenbremse die Möglichkeiten des Staates ein, durch eine antizyklische Finanzpolitik gegenzusteuern und die Wirtschaft zu stützen, so Gegner der Schuldenbremse.</w:t>
      </w:r>
    </w:p>
    <w:p w14:paraId="0B3F7DB8" w14:textId="004F67C0" w:rsidR="00AF5C4B" w:rsidRDefault="00AF5C4B" w:rsidP="00AF5C4B">
      <w:pPr>
        <w:pStyle w:val="Listenabsatz"/>
        <w:numPr>
          <w:ilvl w:val="0"/>
          <w:numId w:val="4"/>
        </w:numPr>
      </w:pPr>
      <w:r>
        <w:t>Einschränkung der Länderautonomie: Die Regelung schränkt die finanzielle Unabhängigkeit der Bundesländer ein, was insbesondere finanzschwache Länder in ihrer Handlungsfähigkeit einschränken könnte.</w:t>
      </w:r>
    </w:p>
    <w:p w14:paraId="6A042101" w14:textId="31B9C7A4" w:rsidR="00AF5C4B" w:rsidRDefault="00AF5C4B" w:rsidP="00AF5C4B">
      <w:pPr>
        <w:pStyle w:val="Listenabsatz"/>
        <w:numPr>
          <w:ilvl w:val="0"/>
          <w:numId w:val="4"/>
        </w:numPr>
      </w:pPr>
      <w:r>
        <w:t xml:space="preserve">Risiko für wichtige öffentliche Leistungen: Bei einem strikten Sparkurs kann es zu Kürzungen bei sozialen Leistungen oder öffentlichen Diensten kommen, was die Lebensqualität vieler Menschen beeinträchtigen könnte. Dies könnte zu Unzufriedenheit in der Bevölkerung führen. </w:t>
      </w:r>
    </w:p>
    <w:p w14:paraId="51DF48EB" w14:textId="77777777" w:rsidR="00AF5C4B" w:rsidRDefault="00AF5C4B" w:rsidP="00AF5C4B">
      <w:pPr>
        <w:pStyle w:val="ekvaufzhlung"/>
      </w:pPr>
    </w:p>
    <w:p w14:paraId="20CBA0D0" w14:textId="77777777" w:rsidR="00AF5C4B" w:rsidRDefault="00AF5C4B" w:rsidP="00AF5C4B">
      <w:pPr>
        <w:pStyle w:val="ekvaufzhlung"/>
      </w:pPr>
    </w:p>
    <w:p w14:paraId="01B7C0AF" w14:textId="77777777" w:rsidR="00AF5C4B" w:rsidRDefault="00AF5C4B" w:rsidP="00AF5C4B">
      <w:pPr>
        <w:pStyle w:val="ekvaufzhlung"/>
      </w:pPr>
    </w:p>
    <w:p w14:paraId="0995E97F" w14:textId="790CE9D1" w:rsidR="00AF5C4B" w:rsidRPr="00AF5C4B" w:rsidRDefault="00AF5C4B" w:rsidP="00AF5C4B">
      <w:pPr>
        <w:pStyle w:val="ekvaufzhlung"/>
      </w:pPr>
      <w:r>
        <w:rPr>
          <w:rStyle w:val="ekvnummerierung"/>
        </w:rPr>
        <w:t>1</w:t>
      </w:r>
      <w:r w:rsidRPr="00AF5C4B">
        <w:tab/>
        <w:t xml:space="preserve">Analysieren Sie die Entwicklung der deutschen Staatsverschuldung (M1 </w:t>
      </w:r>
      <w:r>
        <w:t>und</w:t>
      </w:r>
      <w:r w:rsidRPr="00AF5C4B">
        <w:t xml:space="preserve"> M2).</w:t>
      </w:r>
    </w:p>
    <w:p w14:paraId="572B70DF" w14:textId="77777777" w:rsidR="00AF5C4B" w:rsidRDefault="00AF5C4B" w:rsidP="00AF5C4B">
      <w:pPr>
        <w:pStyle w:val="ekvaufzhlung"/>
        <w:ind w:left="0" w:firstLine="0"/>
      </w:pPr>
    </w:p>
    <w:p w14:paraId="3895FCA5" w14:textId="07A741B8" w:rsidR="00AF5C4B" w:rsidRDefault="00AF5C4B" w:rsidP="00AF5C4B">
      <w:pPr>
        <w:pStyle w:val="ekvaufzhlung"/>
      </w:pPr>
      <w:r>
        <w:rPr>
          <w:rStyle w:val="ekvnummerierung"/>
        </w:rPr>
        <w:t>2</w:t>
      </w:r>
      <w:r>
        <w:rPr>
          <w:rStyle w:val="ekvnummerierung"/>
        </w:rPr>
        <w:tab/>
      </w:r>
      <w:r w:rsidRPr="00AF5C4B">
        <w:t xml:space="preserve">Erklären Sie, warum die Schuldenbremse im Jahr 2009 in Deutschland beschlossen wurde, und welche Regeln gelten. (M3 </w:t>
      </w:r>
      <w:r>
        <w:t>und</w:t>
      </w:r>
      <w:r w:rsidRPr="00AF5C4B">
        <w:t xml:space="preserve"> M4)</w:t>
      </w:r>
    </w:p>
    <w:p w14:paraId="5603E7D0" w14:textId="77777777" w:rsidR="00AF5C4B" w:rsidRPr="00AF5C4B" w:rsidRDefault="00AF5C4B" w:rsidP="00AF5C4B">
      <w:pPr>
        <w:pStyle w:val="ekvaufzhlung"/>
      </w:pPr>
    </w:p>
    <w:p w14:paraId="6D0A136A" w14:textId="707EA62C" w:rsidR="00AF5C4B" w:rsidRDefault="00AF5C4B" w:rsidP="00AF5C4B">
      <w:pPr>
        <w:pStyle w:val="ekvaufzhlung"/>
      </w:pPr>
      <w:r w:rsidRPr="00AF5C4B">
        <w:rPr>
          <w:rStyle w:val="ekvnummerierung"/>
        </w:rPr>
        <w:t>3</w:t>
      </w:r>
      <w:r w:rsidRPr="00AF5C4B">
        <w:tab/>
        <w:t xml:space="preserve">Recherchieren Sie weitere Informationen zur Finanz- und Wirtschaftskrise 20009/2009 und bereiten </w:t>
      </w:r>
      <w:r>
        <w:t>S</w:t>
      </w:r>
      <w:r w:rsidRPr="00AF5C4B">
        <w:t>ie eine Präsentation vor.</w:t>
      </w:r>
    </w:p>
    <w:p w14:paraId="49920EA8" w14:textId="77777777" w:rsidR="00AF5C4B" w:rsidRPr="00AF5C4B" w:rsidRDefault="00AF5C4B" w:rsidP="00AF5C4B">
      <w:pPr>
        <w:pStyle w:val="ekvaufzhlung"/>
      </w:pPr>
    </w:p>
    <w:p w14:paraId="3697C2AB" w14:textId="77777777" w:rsidR="00AF5C4B" w:rsidRPr="00307F84" w:rsidRDefault="00AF5C4B" w:rsidP="00AF5C4B">
      <w:pPr>
        <w:pStyle w:val="ekvaufzhlung"/>
      </w:pPr>
      <w:r w:rsidRPr="00AF5C4B">
        <w:rPr>
          <w:rStyle w:val="ekvnummerierung"/>
        </w:rPr>
        <w:t>4</w:t>
      </w:r>
      <w:r w:rsidRPr="00AF5C4B">
        <w:tab/>
        <w:t xml:space="preserve">Diskutieren Sie die Einführung der Schuldenbremse vor dem Hintergrund der Entwicklung der Staatsverschuldung der BRD. Berücksichtigen Sie dabei auch die Argumente für und gegen die Schuldenbremse. (M5)   </w:t>
      </w:r>
    </w:p>
    <w:p w14:paraId="48D81DFD" w14:textId="77777777" w:rsidR="00AF5C4B" w:rsidRDefault="00AF5C4B" w:rsidP="00AF5C4B">
      <w:pPr>
        <w:pStyle w:val="ekvaufzhlung"/>
      </w:pPr>
    </w:p>
    <w:p w14:paraId="0B330EB0" w14:textId="7DFD52FB" w:rsidR="00AF5C4B" w:rsidRPr="00AF5C4B" w:rsidRDefault="00AF5C4B" w:rsidP="00AF5C4B">
      <w:pPr>
        <w:pStyle w:val="ekvaufzhlung"/>
      </w:pPr>
    </w:p>
    <w:p w14:paraId="2603513F" w14:textId="77777777" w:rsidR="00AF5C4B" w:rsidRPr="00307F84" w:rsidRDefault="00AF5C4B">
      <w:pPr>
        <w:pStyle w:val="ekvaufzhlung"/>
      </w:pPr>
    </w:p>
    <w:sectPr w:rsidR="00AF5C4B" w:rsidRPr="00307F84" w:rsidSect="00720DCE">
      <w:headerReference w:type="default" r:id="rId9"/>
      <w:footerReference w:type="default" r:id="rId1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26473" w14:textId="77777777" w:rsidR="00FB0D46" w:rsidRDefault="00FB0D46" w:rsidP="003C599D">
      <w:pPr>
        <w:spacing w:line="240" w:lineRule="auto"/>
      </w:pPr>
      <w:r>
        <w:separator/>
      </w:r>
    </w:p>
  </w:endnote>
  <w:endnote w:type="continuationSeparator" w:id="0">
    <w:p w14:paraId="68DA0EB0" w14:textId="77777777" w:rsidR="00FB0D46" w:rsidRDefault="00FB0D4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D297C3" w14:textId="77777777" w:rsidTr="00503EE6">
      <w:trPr>
        <w:trHeight w:hRule="exact" w:val="680"/>
      </w:trPr>
      <w:tc>
        <w:tcPr>
          <w:tcW w:w="864" w:type="dxa"/>
          <w:noWrap/>
        </w:tcPr>
        <w:p w14:paraId="392FDD43" w14:textId="77777777" w:rsidR="002659C5" w:rsidRPr="00913892" w:rsidRDefault="002659C5" w:rsidP="005E4C30">
          <w:pPr>
            <w:pStyle w:val="ekvpaginabild"/>
            <w:jc w:val="both"/>
          </w:pPr>
          <w:r w:rsidRPr="00913892">
            <w:rPr>
              <w:noProof/>
              <w:lang w:eastAsia="de-DE"/>
            </w:rPr>
            <w:drawing>
              <wp:inline distT="0" distB="0" distL="0" distR="0" wp14:anchorId="4BD14CB8" wp14:editId="3778F98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C482EF9" w14:textId="617F671D" w:rsidR="002659C5" w:rsidRPr="00913892" w:rsidRDefault="002659C5" w:rsidP="00503EE6">
          <w:pPr>
            <w:pStyle w:val="ekvpagina"/>
          </w:pPr>
          <w:r w:rsidRPr="00913892">
            <w:t xml:space="preserve">© Ernst Klett Verlag GmbH, </w:t>
          </w:r>
          <w:r w:rsidR="00CF40E8">
            <w:t>Stuttgart 20</w:t>
          </w:r>
          <w:r w:rsidR="00F471A0">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83F0C47" w14:textId="573F713D" w:rsidR="000E200F" w:rsidRDefault="000E200F" w:rsidP="000E200F">
          <w:pPr>
            <w:pStyle w:val="ekvquelle"/>
          </w:pPr>
          <w:r w:rsidRPr="000E200F">
            <w:rPr>
              <w:rStyle w:val="ekvquellefett"/>
            </w:rPr>
            <w:t>Abbildungen:</w:t>
          </w:r>
          <w:r>
            <w:t xml:space="preserve"> </w:t>
          </w:r>
          <w:r w:rsidR="005B216C">
            <w:t xml:space="preserve">Daniel Fliesen, nach: </w:t>
          </w:r>
          <w:r w:rsidR="005B216C" w:rsidRPr="005B216C">
            <w:t>https://www.bundeshaushalt.de/DE/Bundeshaushalt-digital/bundeshaushalt-digital.html</w:t>
          </w:r>
          <w:r w:rsidR="005B216C">
            <w:t xml:space="preserve"> </w:t>
          </w:r>
        </w:p>
        <w:p w14:paraId="25C6E985" w14:textId="5630664F" w:rsidR="002659C5" w:rsidRPr="00913892" w:rsidRDefault="000E200F" w:rsidP="000E200F">
          <w:pPr>
            <w:pStyle w:val="ekvquelle"/>
          </w:pPr>
          <w:r w:rsidRPr="000E200F">
            <w:rPr>
              <w:rStyle w:val="ekvquellefett"/>
            </w:rPr>
            <w:t>Text:</w:t>
          </w:r>
          <w:r>
            <w:t xml:space="preserve"> </w:t>
          </w:r>
          <w:r w:rsidR="00F471A0">
            <w:t xml:space="preserve">David </w:t>
          </w:r>
          <w:proofErr w:type="spellStart"/>
          <w:r w:rsidR="00F471A0">
            <w:t>Beckeherm</w:t>
          </w:r>
          <w:proofErr w:type="spellEnd"/>
          <w:r w:rsidR="00F471A0">
            <w:t>, Daniel Fliesen</w:t>
          </w:r>
        </w:p>
      </w:tc>
      <w:tc>
        <w:tcPr>
          <w:tcW w:w="813" w:type="dxa"/>
        </w:tcPr>
        <w:p w14:paraId="5AF9522E" w14:textId="77777777" w:rsidR="002659C5" w:rsidRPr="00913892" w:rsidRDefault="002659C5" w:rsidP="00913892">
          <w:pPr>
            <w:pStyle w:val="ekvpagina"/>
          </w:pPr>
        </w:p>
      </w:tc>
    </w:tr>
  </w:tbl>
  <w:p w14:paraId="0F14E0A5"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D5F96" w14:textId="77777777" w:rsidR="00FB0D46" w:rsidRDefault="00FB0D46" w:rsidP="003C599D">
      <w:pPr>
        <w:spacing w:line="240" w:lineRule="auto"/>
      </w:pPr>
      <w:r>
        <w:separator/>
      </w:r>
    </w:p>
  </w:footnote>
  <w:footnote w:type="continuationSeparator" w:id="0">
    <w:p w14:paraId="7EA93792" w14:textId="77777777" w:rsidR="00FB0D46" w:rsidRDefault="00FB0D4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1185ABA" w14:textId="77777777" w:rsidTr="00431E62">
      <w:trPr>
        <w:trHeight w:hRule="exact" w:val="510"/>
      </w:trPr>
      <w:tc>
        <w:tcPr>
          <w:tcW w:w="818" w:type="dxa"/>
          <w:tcBorders>
            <w:top w:val="nil"/>
            <w:bottom w:val="nil"/>
            <w:right w:val="nil"/>
          </w:tcBorders>
          <w:noWrap/>
          <w:vAlign w:val="bottom"/>
        </w:tcPr>
        <w:p w14:paraId="00396B5A" w14:textId="77777777" w:rsidR="00901B13" w:rsidRPr="00AE65F6" w:rsidRDefault="00901B13" w:rsidP="00901B13"/>
      </w:tc>
      <w:tc>
        <w:tcPr>
          <w:tcW w:w="3856" w:type="dxa"/>
          <w:tcBorders>
            <w:top w:val="nil"/>
            <w:left w:val="nil"/>
            <w:bottom w:val="nil"/>
            <w:right w:val="nil"/>
          </w:tcBorders>
          <w:noWrap/>
          <w:vAlign w:val="bottom"/>
        </w:tcPr>
        <w:p w14:paraId="35D80B2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C2FA3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AA5AAB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092E3AF" w14:textId="77777777" w:rsidR="00901B13" w:rsidRPr="007C1230" w:rsidRDefault="00901B13" w:rsidP="00901B13">
          <w:pPr>
            <w:pStyle w:val="ekvkvnummer"/>
          </w:pPr>
        </w:p>
      </w:tc>
      <w:tc>
        <w:tcPr>
          <w:tcW w:w="883" w:type="dxa"/>
          <w:tcBorders>
            <w:top w:val="nil"/>
            <w:left w:val="nil"/>
            <w:bottom w:val="nil"/>
          </w:tcBorders>
          <w:noWrap/>
          <w:vAlign w:val="bottom"/>
        </w:tcPr>
        <w:p w14:paraId="6E3562B3" w14:textId="77777777" w:rsidR="00901B13" w:rsidRPr="007636A0" w:rsidRDefault="00901B13" w:rsidP="00901B13">
          <w:pPr>
            <w:pStyle w:val="ekvkapitel"/>
            <w:rPr>
              <w:color w:val="FFFFFF" w:themeColor="background1"/>
            </w:rPr>
          </w:pPr>
        </w:p>
      </w:tc>
    </w:tr>
    <w:tr w:rsidR="00901B13" w:rsidRPr="00BF17F2" w14:paraId="5DFD13D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E5D420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BBB435" w14:textId="77777777" w:rsidR="00901B13" w:rsidRPr="00BF17F2" w:rsidRDefault="00901B13" w:rsidP="00901B13">
          <w:pPr>
            <w:rPr>
              <w:color w:val="FFFFFF" w:themeColor="background1"/>
            </w:rPr>
          </w:pPr>
        </w:p>
      </w:tc>
    </w:tr>
  </w:tbl>
  <w:p w14:paraId="50EE2C77"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A71"/>
    <w:multiLevelType w:val="hybridMultilevel"/>
    <w:tmpl w:val="6ED09340"/>
    <w:lvl w:ilvl="0" w:tplc="AA843958">
      <w:start w:val="1"/>
      <w:numFmt w:val="decimal"/>
      <w:lvlText w:val="%1"/>
      <w:lvlJc w:val="left"/>
      <w:pPr>
        <w:ind w:left="720" w:hanging="360"/>
      </w:pPr>
      <w:rPr>
        <w:rFonts w:hint="default"/>
        <w:b/>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0657A8B"/>
    <w:multiLevelType w:val="hybridMultilevel"/>
    <w:tmpl w:val="070EF36C"/>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2" w15:restartNumberingAfterBreak="0">
    <w:nsid w:val="518940EB"/>
    <w:multiLevelType w:val="hybridMultilevel"/>
    <w:tmpl w:val="7EEE00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33047D0"/>
    <w:multiLevelType w:val="hybridMultilevel"/>
    <w:tmpl w:val="927E7A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FEB20AA"/>
    <w:multiLevelType w:val="hybridMultilevel"/>
    <w:tmpl w:val="C346F068"/>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num w:numId="1" w16cid:durableId="1943951130">
    <w:abstractNumId w:val="0"/>
  </w:num>
  <w:num w:numId="2" w16cid:durableId="482044264">
    <w:abstractNumId w:val="4"/>
  </w:num>
  <w:num w:numId="3" w16cid:durableId="1851136563">
    <w:abstractNumId w:val="1"/>
  </w:num>
  <w:num w:numId="4" w16cid:durableId="1903101386">
    <w:abstractNumId w:val="2"/>
  </w:num>
  <w:num w:numId="5" w16cid:durableId="2062711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10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799D"/>
    <w:rsid w:val="001C2DC7"/>
    <w:rsid w:val="001C2F20"/>
    <w:rsid w:val="001C3792"/>
    <w:rsid w:val="001C499E"/>
    <w:rsid w:val="001C6C8F"/>
    <w:rsid w:val="001D0CB4"/>
    <w:rsid w:val="001D1169"/>
    <w:rsid w:val="001D2674"/>
    <w:rsid w:val="001D39FD"/>
    <w:rsid w:val="001D7E89"/>
    <w:rsid w:val="001E485B"/>
    <w:rsid w:val="001E7D4A"/>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07F84"/>
    <w:rsid w:val="00310559"/>
    <w:rsid w:val="00313596"/>
    <w:rsid w:val="00313FD8"/>
    <w:rsid w:val="00314970"/>
    <w:rsid w:val="00315EA9"/>
    <w:rsid w:val="00320087"/>
    <w:rsid w:val="00321063"/>
    <w:rsid w:val="003259C6"/>
    <w:rsid w:val="0032667B"/>
    <w:rsid w:val="0032679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2E0E"/>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2088"/>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13D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216C"/>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2BC4"/>
    <w:rsid w:val="00A83EBE"/>
    <w:rsid w:val="00A8594A"/>
    <w:rsid w:val="00A86417"/>
    <w:rsid w:val="00A8687B"/>
    <w:rsid w:val="00A92B79"/>
    <w:rsid w:val="00A9695B"/>
    <w:rsid w:val="00AA3E8B"/>
    <w:rsid w:val="00AA5A5A"/>
    <w:rsid w:val="00AB05CF"/>
    <w:rsid w:val="00AB0DA8"/>
    <w:rsid w:val="00AB18CA"/>
    <w:rsid w:val="00AB5327"/>
    <w:rsid w:val="00AB5B80"/>
    <w:rsid w:val="00AB6AE5"/>
    <w:rsid w:val="00AB7619"/>
    <w:rsid w:val="00AC01E7"/>
    <w:rsid w:val="00AC7B89"/>
    <w:rsid w:val="00AD4D22"/>
    <w:rsid w:val="00AE3D8A"/>
    <w:rsid w:val="00AE65F6"/>
    <w:rsid w:val="00AF053E"/>
    <w:rsid w:val="00AF5C4B"/>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07FC9"/>
    <w:rsid w:val="00C172AE"/>
    <w:rsid w:val="00C17BE6"/>
    <w:rsid w:val="00C343F5"/>
    <w:rsid w:val="00C35D4D"/>
    <w:rsid w:val="00C40555"/>
    <w:rsid w:val="00C40D51"/>
    <w:rsid w:val="00C429A6"/>
    <w:rsid w:val="00C42DC1"/>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5D80"/>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104"/>
    <w:rsid w:val="00D022EC"/>
    <w:rsid w:val="00D05217"/>
    <w:rsid w:val="00D05CA2"/>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4E67"/>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5E9F"/>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37D6B"/>
    <w:rsid w:val="00E43E04"/>
    <w:rsid w:val="00E44E20"/>
    <w:rsid w:val="00E463F1"/>
    <w:rsid w:val="00E47A67"/>
    <w:rsid w:val="00E50679"/>
    <w:rsid w:val="00E50799"/>
    <w:rsid w:val="00E552A4"/>
    <w:rsid w:val="00E55FB2"/>
    <w:rsid w:val="00E604BE"/>
    <w:rsid w:val="00E6190A"/>
    <w:rsid w:val="00E63251"/>
    <w:rsid w:val="00E70A9C"/>
    <w:rsid w:val="00E70C40"/>
    <w:rsid w:val="00E710C7"/>
    <w:rsid w:val="00E80DED"/>
    <w:rsid w:val="00E8369E"/>
    <w:rsid w:val="00E924B7"/>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25F9D"/>
    <w:rsid w:val="00F30571"/>
    <w:rsid w:val="00F32ED5"/>
    <w:rsid w:val="00F335CB"/>
    <w:rsid w:val="00F35DB1"/>
    <w:rsid w:val="00F3651F"/>
    <w:rsid w:val="00F36D0F"/>
    <w:rsid w:val="00F4144F"/>
    <w:rsid w:val="00F42294"/>
    <w:rsid w:val="00F42A8F"/>
    <w:rsid w:val="00F42F7B"/>
    <w:rsid w:val="00F459EB"/>
    <w:rsid w:val="00F471A0"/>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D46"/>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7035D"/>
  <w15:chartTrackingRefBased/>
  <w15:docId w15:val="{530ABA6B-9026-49CC-81F7-21B0E42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AF5C4B"/>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aliases w:val="ekv.istenabsatz"/>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D02104"/>
    <w:rPr>
      <w:color w:val="0563C1" w:themeColor="hyperlink"/>
      <w:u w:val="single"/>
    </w:rPr>
  </w:style>
  <w:style w:type="character" w:styleId="BesuchterLink">
    <w:name w:val="FollowedHyperlink"/>
    <w:basedOn w:val="Absatz-Standardschriftart"/>
    <w:uiPriority w:val="99"/>
    <w:semiHidden/>
    <w:unhideWhenUsed/>
    <w:rsid w:val="00F471A0"/>
    <w:rPr>
      <w:color w:val="954F72" w:themeColor="followedHyperlink"/>
      <w:u w:val="single"/>
    </w:rPr>
  </w:style>
  <w:style w:type="character" w:styleId="NichtaufgelsteErwhnung">
    <w:name w:val="Unresolved Mention"/>
    <w:basedOn w:val="Absatz-Standardschriftart"/>
    <w:uiPriority w:val="99"/>
    <w:semiHidden/>
    <w:unhideWhenUsed/>
    <w:rsid w:val="005B2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Schuldenstandsquote in % des BIP</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de-DE"/>
        </a:p>
      </c:txPr>
    </c:title>
    <c:autoTitleDeleted val="0"/>
    <c:plotArea>
      <c:layout/>
      <c:lineChart>
        <c:grouping val="standard"/>
        <c:varyColors val="0"/>
        <c:ser>
          <c:idx val="0"/>
          <c:order val="0"/>
          <c:tx>
            <c:strRef>
              <c:f>Tabelle1!$B$1</c:f>
              <c:strCache>
                <c:ptCount val="1"/>
                <c:pt idx="0">
                  <c:v>Schuldenstandsquote in &amp; des BIP</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Tabelle1!$A$2:$A$9</c:f>
              <c:numCache>
                <c:formatCode>General</c:formatCode>
                <c:ptCount val="8"/>
                <c:pt idx="0">
                  <c:v>2000</c:v>
                </c:pt>
                <c:pt idx="1">
                  <c:v>2005</c:v>
                </c:pt>
                <c:pt idx="2">
                  <c:v>2010</c:v>
                </c:pt>
                <c:pt idx="3">
                  <c:v>2015</c:v>
                </c:pt>
                <c:pt idx="4">
                  <c:v>2020</c:v>
                </c:pt>
                <c:pt idx="5">
                  <c:v>2021</c:v>
                </c:pt>
                <c:pt idx="6">
                  <c:v>2022</c:v>
                </c:pt>
              </c:numCache>
            </c:numRef>
          </c:cat>
          <c:val>
            <c:numRef>
              <c:f>Tabelle1!$B$2:$B$9</c:f>
              <c:numCache>
                <c:formatCode>General</c:formatCode>
                <c:ptCount val="8"/>
                <c:pt idx="0">
                  <c:v>59.3</c:v>
                </c:pt>
                <c:pt idx="1">
                  <c:v>67.5</c:v>
                </c:pt>
                <c:pt idx="2">
                  <c:v>82</c:v>
                </c:pt>
                <c:pt idx="3">
                  <c:v>71.900000000000006</c:v>
                </c:pt>
                <c:pt idx="4">
                  <c:v>68.8</c:v>
                </c:pt>
                <c:pt idx="5">
                  <c:v>69</c:v>
                </c:pt>
                <c:pt idx="6">
                  <c:v>66.099999999999994</c:v>
                </c:pt>
              </c:numCache>
            </c:numRef>
          </c:val>
          <c:smooth val="0"/>
          <c:extLst>
            <c:ext xmlns:c16="http://schemas.microsoft.com/office/drawing/2014/chart" uri="{C3380CC4-5D6E-409C-BE32-E72D297353CC}">
              <c16:uniqueId val="{00000000-517F-4C0C-8401-B79323C54121}"/>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596961696"/>
        <c:axId val="596956416"/>
      </c:lineChart>
      <c:catAx>
        <c:axId val="596961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de-DE"/>
          </a:p>
        </c:txPr>
        <c:crossAx val="596956416"/>
        <c:crosses val="autoZero"/>
        <c:auto val="1"/>
        <c:lblAlgn val="ctr"/>
        <c:lblOffset val="100"/>
        <c:noMultiLvlLbl val="0"/>
      </c:catAx>
      <c:valAx>
        <c:axId val="596956416"/>
        <c:scaling>
          <c:orientation val="minMax"/>
        </c:scaling>
        <c:delete val="1"/>
        <c:axPos val="l"/>
        <c:numFmt formatCode="General" sourceLinked="1"/>
        <c:majorTickMark val="none"/>
        <c:minorTickMark val="none"/>
        <c:tickLblPos val="nextTo"/>
        <c:crossAx val="596961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lt1">
          <a:lumMod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de-DE"/>
        </a:p>
      </c:txPr>
    </c:title>
    <c:autoTitleDeleted val="0"/>
    <c:plotArea>
      <c:layout/>
      <c:lineChart>
        <c:grouping val="stacked"/>
        <c:varyColors val="0"/>
        <c:ser>
          <c:idx val="0"/>
          <c:order val="0"/>
          <c:tx>
            <c:strRef>
              <c:f>Tabelle1!$B$1</c:f>
              <c:strCache>
                <c:ptCount val="1"/>
                <c:pt idx="0">
                  <c:v>Verschuldung in Mrd Euro</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Tabelle1!$A$2:$A$10</c:f>
              <c:numCache>
                <c:formatCode>General</c:formatCode>
                <c:ptCount val="9"/>
                <c:pt idx="0">
                  <c:v>1991</c:v>
                </c:pt>
                <c:pt idx="1">
                  <c:v>1995</c:v>
                </c:pt>
                <c:pt idx="2">
                  <c:v>2000</c:v>
                </c:pt>
                <c:pt idx="3">
                  <c:v>2005</c:v>
                </c:pt>
                <c:pt idx="4">
                  <c:v>2010</c:v>
                </c:pt>
                <c:pt idx="5">
                  <c:v>2015</c:v>
                </c:pt>
                <c:pt idx="6">
                  <c:v>2020</c:v>
                </c:pt>
                <c:pt idx="7">
                  <c:v>2021</c:v>
                </c:pt>
                <c:pt idx="8">
                  <c:v>2022</c:v>
                </c:pt>
              </c:numCache>
            </c:numRef>
          </c:cat>
          <c:val>
            <c:numRef>
              <c:f>Tabelle1!$B$2:$B$10</c:f>
              <c:numCache>
                <c:formatCode>General</c:formatCode>
                <c:ptCount val="9"/>
                <c:pt idx="0">
                  <c:v>618.20000000000005</c:v>
                </c:pt>
                <c:pt idx="1">
                  <c:v>1040.2</c:v>
                </c:pt>
                <c:pt idx="2">
                  <c:v>1251.2</c:v>
                </c:pt>
                <c:pt idx="3">
                  <c:v>1545.7</c:v>
                </c:pt>
                <c:pt idx="4">
                  <c:v>2102.6999999999998</c:v>
                </c:pt>
                <c:pt idx="5">
                  <c:v>2177.1999999999998</c:v>
                </c:pt>
                <c:pt idx="6">
                  <c:v>2340.8000000000002</c:v>
                </c:pt>
                <c:pt idx="7">
                  <c:v>2495.5</c:v>
                </c:pt>
                <c:pt idx="8">
                  <c:v>2561.6999999999998</c:v>
                </c:pt>
              </c:numCache>
            </c:numRef>
          </c:val>
          <c:smooth val="0"/>
          <c:extLst>
            <c:ext xmlns:c16="http://schemas.microsoft.com/office/drawing/2014/chart" uri="{C3380CC4-5D6E-409C-BE32-E72D297353CC}">
              <c16:uniqueId val="{00000000-7190-4772-AAC5-1D3BFB759FAD}"/>
            </c:ext>
          </c:extLst>
        </c:ser>
        <c:dLbls>
          <c:dLblPos val="ctr"/>
          <c:showLegendKey val="0"/>
          <c:showVal val="1"/>
          <c:showCatName val="0"/>
          <c:showSerName val="0"/>
          <c:showPercent val="0"/>
          <c:showBubbleSize val="0"/>
        </c:dLbls>
        <c:marker val="1"/>
        <c:smooth val="0"/>
        <c:axId val="570109840"/>
        <c:axId val="570112240"/>
      </c:lineChart>
      <c:catAx>
        <c:axId val="5701098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de-DE"/>
          </a:p>
        </c:txPr>
        <c:crossAx val="570112240"/>
        <c:crosses val="autoZero"/>
        <c:auto val="1"/>
        <c:lblAlgn val="ctr"/>
        <c:lblOffset val="100"/>
        <c:noMultiLvlLbl val="0"/>
      </c:catAx>
      <c:valAx>
        <c:axId val="5701122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701098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de-DE"/>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5424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2024-10-01T05:57:00Z</dcterms:created>
  <dcterms:modified xsi:type="dcterms:W3CDTF">2024-10-01T06:56:00Z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