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42A37" w14:textId="702D5CC8" w:rsidR="00901B13" w:rsidRDefault="00BA5A08" w:rsidP="00BA5A08">
      <w:pPr>
        <w:pStyle w:val="ekvue2arial"/>
      </w:pPr>
      <w:r w:rsidRPr="00BA5A08">
        <w:t>Das Urteil des Bundesverfassungsgerichts und seine Folgen</w:t>
      </w:r>
    </w:p>
    <w:p w14:paraId="60DC5670" w14:textId="77777777" w:rsidR="00BA5A08" w:rsidRDefault="00BA5A08" w:rsidP="000E200F"/>
    <w:p w14:paraId="17DD2B11" w14:textId="77777777" w:rsidR="00BA5A08" w:rsidRDefault="00BA5A08" w:rsidP="00BA5A08">
      <w:pPr>
        <w:pStyle w:val="ekvue3arial"/>
      </w:pPr>
      <w:r w:rsidRPr="00BA5A08">
        <w:rPr>
          <w:shd w:val="clear" w:color="auto" w:fill="D0CECE" w:themeFill="background2" w:themeFillShade="E6"/>
        </w:rPr>
        <w:t>M1</w:t>
      </w:r>
      <w:r>
        <w:t xml:space="preserve"> Das Urteil des Bundesverfassungsgerichts im Haushaltsstreit</w:t>
      </w:r>
    </w:p>
    <w:p w14:paraId="7B296F33" w14:textId="77777777" w:rsidR="00BA5A08" w:rsidRDefault="00BA5A08" w:rsidP="00BA5A08"/>
    <w:p w14:paraId="147D0C72" w14:textId="77777777" w:rsidR="00BA5A08" w:rsidRDefault="00BA5A08" w:rsidP="00BA5A08">
      <w:pPr>
        <w:sectPr w:rsidR="00BA5A08" w:rsidSect="00BA5A08">
          <w:headerReference w:type="default" r:id="rId7"/>
          <w:footerReference w:type="default" r:id="rId8"/>
          <w:type w:val="continuous"/>
          <w:pgSz w:w="11906" w:h="16838" w:code="9"/>
          <w:pgMar w:top="1758" w:right="1276" w:bottom="1531" w:left="1276" w:header="454" w:footer="454" w:gutter="0"/>
          <w:lnNumType w:countBy="5" w:restart="newSection"/>
          <w:cols w:space="708"/>
          <w:docGrid w:linePitch="360"/>
        </w:sectPr>
      </w:pPr>
    </w:p>
    <w:p w14:paraId="117748BB" w14:textId="64DF9344" w:rsidR="00BA5A08" w:rsidRDefault="00BA5A08" w:rsidP="00BA5A08">
      <w:pPr>
        <w:spacing w:after="240"/>
      </w:pPr>
      <w:r>
        <w:t>Das Bundesverfassungsgericht hat am 15. November 2023 das Zweite Nachtragshaushaltsgesetz 2021 für nichtig erklärt. Das Urteil des Zweiten Senats begründete, dass das Gesetz gegen zentrale Bestimmungen des Grundgesetzes verstößt. Die Klage wurde von Mitgliedern der CDU/CSU-Fraktion eingereicht, da sie der Ansicht waren, dass die nachträglichen Änderungen des Haushaltsgesetzes für 2021 rechtswidrig seien. Im Mittelpunkt der Kritik stand eine Kreditermächtigung von 60 Milliarden Euro, die ursprünglich zur Bewältigung der Corona-Pandemie im Jahr 2021 vorgesehen war, jedoch nicht vollständig benötigt wurde. Diese Summe sollte rückwirkend durch eine Zuführung in den Energie- und Klimafonds (heute Klima- und Transformationsfonds, KTF) für künftige Haushaltsjahre nutzbar gemacht werden. Das Zweite Nachtragshaushaltsgesetz 2021 trat im Februar 2022 rückwirkend zum 1. Januar 2021 in Kraft.</w:t>
      </w:r>
    </w:p>
    <w:p w14:paraId="6A204282" w14:textId="67708ED7" w:rsidR="00BA5A08" w:rsidRDefault="00BA5A08" w:rsidP="00BA5A08">
      <w:pPr>
        <w:spacing w:after="240"/>
      </w:pPr>
      <w:r>
        <w:t xml:space="preserve">Das Bundesverfassungsgericht stellte fest, dass das Gesetz nicht den verfassungsrechtlichen Anforderungen für notlagenbedingte Kreditaufnahmen entsprach. In seiner Entscheidung führt das Gericht drei wesentliche Gründe an. Erstens habe der Gesetzgeber nicht ausreichend </w:t>
      </w:r>
      <w:r w:rsidR="009025A2">
        <w:t>deutlich gemacht</w:t>
      </w:r>
      <w:r>
        <w:t xml:space="preserve">, wie die Kreditaufnahme im Zusammenhang mit der Corona-Notsituation steht. </w:t>
      </w:r>
      <w:r w:rsidR="00172FC5">
        <w:t>Zweitens</w:t>
      </w:r>
      <w:r>
        <w:t xml:space="preserve"> vertrat der Senat die Ansicht, dass die zeitliche Entkoppelung der Kreditermächtigung vom tatsächlichen Einsatz der Mittel den Haushaltsprinzipien der Jährlichkeit und Jährigkeit widerspreche.</w:t>
      </w:r>
      <w:r w:rsidR="00172FC5">
        <w:t xml:space="preserve"> Als dritter Grund wurde aufgeführt, dass das Nachtragshaushaltsgesetz </w:t>
      </w:r>
      <w:r w:rsidR="009025A2">
        <w:t xml:space="preserve">2021 </w:t>
      </w:r>
      <w:r w:rsidR="00172FC5">
        <w:t xml:space="preserve">gegen das Prinzip der Vorherigkeit verstoße, </w:t>
      </w:r>
      <w:r w:rsidR="009025A2">
        <w:t xml:space="preserve">da es nach Ablauf des Haushaltsjahres 2021, nämlich erst </w:t>
      </w:r>
      <w:r w:rsidR="00387EAA">
        <w:t>Anfang</w:t>
      </w:r>
      <w:r w:rsidR="009025A2">
        <w:t xml:space="preserve"> 2022, </w:t>
      </w:r>
      <w:r w:rsidR="00387EAA">
        <w:t xml:space="preserve">rückwirkend </w:t>
      </w:r>
      <w:r w:rsidR="009025A2">
        <w:t>verabschiedet wurde.</w:t>
      </w:r>
    </w:p>
    <w:p w14:paraId="254067ED" w14:textId="1510EF72" w:rsidR="00BA5A08" w:rsidRDefault="00BA5A08" w:rsidP="00BA5A08">
      <w:r>
        <w:t>Das Urteil betont die strikten Anforderungen des Grundgesetzes an die Haushaltsführung, insbesondere im Hinblick auf die Schuldenbremse und die Einhaltung der jährlichen Haushaltsplanung. Eine rückwirkende Änderung, wie sie im Zweiten Nachtragshaushaltsgesetz 2021 vorgesehen war, ist verfassungsrechtlich nicht zulässig, da sie die Kontroll- und Lenkungsfunktion des Haushaltsplans untergräbt.</w:t>
      </w:r>
    </w:p>
    <w:p w14:paraId="0025920E" w14:textId="77777777" w:rsidR="00BA5A08" w:rsidRDefault="00BA5A08" w:rsidP="00BA5A08">
      <w:pPr>
        <w:sectPr w:rsidR="00BA5A08" w:rsidSect="00BA5A08">
          <w:type w:val="continuous"/>
          <w:pgSz w:w="11906" w:h="16838" w:code="9"/>
          <w:pgMar w:top="1758" w:right="1276" w:bottom="1531" w:left="1276" w:header="454" w:footer="454" w:gutter="0"/>
          <w:lnNumType w:countBy="5" w:restart="newSection"/>
          <w:cols w:space="708"/>
          <w:docGrid w:linePitch="360"/>
        </w:sectPr>
      </w:pPr>
    </w:p>
    <w:p w14:paraId="4BBF8CCB" w14:textId="77777777" w:rsidR="00BA5A08" w:rsidRDefault="00BA5A08" w:rsidP="00BA5A08"/>
    <w:p w14:paraId="7B33E478" w14:textId="77777777" w:rsidR="00BA5A08" w:rsidRDefault="00BA5A08" w:rsidP="00BA5A08">
      <w:pPr>
        <w:pStyle w:val="ekvue3arial"/>
      </w:pPr>
      <w:r w:rsidRPr="00BA5A08">
        <w:rPr>
          <w:shd w:val="clear" w:color="auto" w:fill="D0CECE" w:themeFill="background2" w:themeFillShade="E6"/>
        </w:rPr>
        <w:t>M2</w:t>
      </w:r>
      <w:r>
        <w:t xml:space="preserve"> Der Klima- und Transformationsfonds</w:t>
      </w:r>
    </w:p>
    <w:p w14:paraId="37A660ED" w14:textId="77777777" w:rsidR="00BA5A08" w:rsidRDefault="00BA5A08" w:rsidP="00BA5A08">
      <w:pPr>
        <w:pStyle w:val="ekvue3arial"/>
      </w:pPr>
    </w:p>
    <w:p w14:paraId="69EDD6D9" w14:textId="77777777" w:rsidR="00BA5A08" w:rsidRDefault="00BA5A08" w:rsidP="00BA5A08">
      <w:pPr>
        <w:pStyle w:val="ekvue3arial"/>
        <w:sectPr w:rsidR="00BA5A08" w:rsidSect="00BA5A08">
          <w:type w:val="continuous"/>
          <w:pgSz w:w="11906" w:h="16838" w:code="9"/>
          <w:pgMar w:top="1758" w:right="1276" w:bottom="1531" w:left="1276" w:header="454" w:footer="454" w:gutter="0"/>
          <w:cols w:space="708"/>
          <w:docGrid w:linePitch="360"/>
        </w:sectPr>
      </w:pPr>
    </w:p>
    <w:p w14:paraId="3EF3FC7E" w14:textId="32D1EC1F" w:rsidR="00BA5A08" w:rsidRDefault="00BA5A08" w:rsidP="00D6370C">
      <w:pPr>
        <w:spacing w:after="240"/>
      </w:pPr>
      <w:r>
        <w:t xml:space="preserve">Der Klima- und Transformationsfonds (KTF) ist ein wichtiger Finanzierungsmechanismus der Bundesregierung, um die Energiewende und den Klimaschutz in Deutschland voranzutreiben. Mit dem KTF werden Maßnahmen wie die Sanierung von Gebäuden, der Ausbau erneuerbarer Energien, die Förderung der Elektromobilität und der Aufbau einer Wasserstoffwirtschaft </w:t>
      </w:r>
      <w:r w:rsidR="002D5623">
        <w:t>w</w:t>
      </w:r>
      <w:r>
        <w:t>unterstützt. Ab 2024 soll der KTF auch die Halbleiterproduktion fördern, die für klimafreundliche Technologien wichtig ist.</w:t>
      </w:r>
    </w:p>
    <w:p w14:paraId="312A32EF" w14:textId="6BBBD8EB" w:rsidR="00BA5A08" w:rsidRDefault="00BA5A08" w:rsidP="00BA5A08">
      <w:r>
        <w:t>Im Jahr 2024 sind Ausgaben von etwa 57,6 Milliarden Euro geplant, was eine deutliche Steigerung im Vergleich zu 2023 ist. Die größten Ausgabenposten sind 18,9 Milliarden Euro für den Gebäudebereich, 12,6 Milliarden Euro für die Förderung erneuerbarer Energien und 4,7 Milliarden Euro für die Elektromobilität. Auch 4 Milliarden Euro für Investitionen in die Eisenbahn und 3,8 Milliarden Euro für die Wasserstoffindustrie sind vorgesehen. Insgesamt wird der KTF bis 2027 rund 211,8 Milliarden Euro zur Verfügung stellen.</w:t>
      </w:r>
    </w:p>
    <w:p w14:paraId="3B62E42E" w14:textId="05840F65" w:rsidR="00BA5A08" w:rsidRDefault="00BA5A08" w:rsidP="00BA5A08">
      <w:pPr>
        <w:sectPr w:rsidR="00BA5A08" w:rsidSect="00BA5A08">
          <w:type w:val="continuous"/>
          <w:pgSz w:w="11906" w:h="16838" w:code="9"/>
          <w:pgMar w:top="1758" w:right="1276" w:bottom="1531" w:left="1276" w:header="454" w:footer="454" w:gutter="0"/>
          <w:lnNumType w:countBy="5" w:restart="newSection"/>
          <w:cols w:space="708"/>
          <w:docGrid w:linePitch="360"/>
        </w:sectPr>
      </w:pPr>
      <w:r>
        <w:t>Finanziert wird der KTF hauptsächlich durch Einnahmen aus dem europäischen und nationalen Emissionshandel, also durch die Bezahlung von CO</w:t>
      </w:r>
      <w:r w:rsidR="00953CE9" w:rsidRPr="00953CE9">
        <w:rPr>
          <w:vertAlign w:val="subscript"/>
        </w:rPr>
        <w:t>2</w:t>
      </w:r>
      <w:r>
        <w:t>-Emissionen, sowie durch Rücklagen in Höhe von etwa 70,7 Milliarden Euro. Eine zusätzliche Finanzierung aus dem Bundeshaushalt ist nicht geplant.</w:t>
      </w:r>
    </w:p>
    <w:p w14:paraId="1B60BF09" w14:textId="174D7059" w:rsidR="00BA5A08" w:rsidRDefault="00D6370C" w:rsidP="00D6370C">
      <w:pPr>
        <w:pStyle w:val="ekvue3arial"/>
      </w:pPr>
      <w:r>
        <w:br w:type="column"/>
      </w:r>
      <w:r w:rsidR="00BA5A08" w:rsidRPr="00BA5A08">
        <w:rPr>
          <w:shd w:val="clear" w:color="auto" w:fill="D0CECE" w:themeFill="background2" w:themeFillShade="E6"/>
        </w:rPr>
        <w:lastRenderedPageBreak/>
        <w:t>M3</w:t>
      </w:r>
      <w:r w:rsidR="00BA5A08">
        <w:t xml:space="preserve"> Die Folgen des Urteils</w:t>
      </w:r>
    </w:p>
    <w:p w14:paraId="0042EC16" w14:textId="77777777" w:rsidR="00BA5A08" w:rsidRDefault="00BA5A08" w:rsidP="00BA5A08">
      <w:pPr>
        <w:pStyle w:val="ekvue3arial"/>
      </w:pPr>
    </w:p>
    <w:p w14:paraId="18808600" w14:textId="77777777" w:rsidR="00BA5A08" w:rsidRDefault="00BA5A08" w:rsidP="00BA5A08">
      <w:pPr>
        <w:sectPr w:rsidR="00BA5A08" w:rsidSect="00BA5A08">
          <w:type w:val="continuous"/>
          <w:pgSz w:w="11906" w:h="16838" w:code="9"/>
          <w:pgMar w:top="1758" w:right="1276" w:bottom="1531" w:left="1276" w:header="454" w:footer="454" w:gutter="0"/>
          <w:cols w:space="708"/>
          <w:docGrid w:linePitch="360"/>
        </w:sectPr>
      </w:pPr>
    </w:p>
    <w:p w14:paraId="3034CD2C" w14:textId="56C79BAD" w:rsidR="00C70652" w:rsidRDefault="00C70652" w:rsidP="00C70652">
      <w:pPr>
        <w:spacing w:after="240"/>
      </w:pPr>
      <w:r>
        <w:t>Das Urteil zum Nachtragshaushalt 2021 hat große Auswirkungen auf die Klimapolitik. Dem Klima- und Transformationsfonds (KTF) fehlen in Folge 60 Milliarden Euro für geplante Projekte bis 2027, davon allein 20 Milliarden für das Jahr 2024. Dadurch stehen viele wichtige Projekte auf dem Prüfstand, wie der Ausbau des Wärmenetzes, die Förderung von Elektromobilität und der Einsatz von grünem Wasserstoff in der Industrie. Auch Investitionen in den Ausbau der Deutschen Bahn und in Chipfabriken könnten gekürzt werden.</w:t>
      </w:r>
    </w:p>
    <w:p w14:paraId="2A7B85F7" w14:textId="54B8B904" w:rsidR="00BA5A08" w:rsidRDefault="00BA5A08" w:rsidP="00C70652">
      <w:pPr>
        <w:spacing w:after="240"/>
      </w:pPr>
      <w:r>
        <w:t xml:space="preserve">Neben dem </w:t>
      </w:r>
      <w:r w:rsidR="00D6370C">
        <w:t>KTF</w:t>
      </w:r>
      <w:r>
        <w:t xml:space="preserve"> ist auch der Wirtschafts</w:t>
      </w:r>
      <w:r w:rsidR="00CB7ACB">
        <w:t>s</w:t>
      </w:r>
      <w:r>
        <w:t>tabilisierungsfonds (WSF) von dem Urteil</w:t>
      </w:r>
      <w:r w:rsidR="00387EAA">
        <w:t xml:space="preserve"> des Bundesverfassungsgerichts</w:t>
      </w:r>
      <w:r>
        <w:t xml:space="preserve"> betroffen. </w:t>
      </w:r>
      <w:r w:rsidR="003F3E55">
        <w:t>Beim</w:t>
      </w:r>
      <w:r>
        <w:t xml:space="preserve"> WSF, der die Strom- und Gaspreisbremsen finanziert hat, </w:t>
      </w:r>
      <w:r w:rsidR="003F3E55">
        <w:t>sollten,</w:t>
      </w:r>
      <w:r w:rsidR="005F3CE4">
        <w:t xml:space="preserve"> auf ähnliche Weise wie </w:t>
      </w:r>
      <w:r w:rsidR="003F3E55">
        <w:t>beim</w:t>
      </w:r>
      <w:r w:rsidR="005F3CE4">
        <w:t xml:space="preserve"> KTF</w:t>
      </w:r>
      <w:r w:rsidR="003F3E55">
        <w:t>,</w:t>
      </w:r>
      <w:r w:rsidR="005F3CE4">
        <w:t xml:space="preserve"> </w:t>
      </w:r>
      <w:r w:rsidR="003F3E55">
        <w:t xml:space="preserve">Kreditermächtigungen aus dem Jahr 2022 für </w:t>
      </w:r>
      <w:r w:rsidR="00794BE2">
        <w:t>spätere</w:t>
      </w:r>
      <w:r w:rsidR="003F3E55">
        <w:t xml:space="preserve"> Jahre genutzt werden</w:t>
      </w:r>
      <w:r w:rsidR="005F3CE4">
        <w:t>.</w:t>
      </w:r>
      <w:r w:rsidR="003F3E55">
        <w:t xml:space="preserve"> Da der WSF dadurch potenziell </w:t>
      </w:r>
      <w:r w:rsidR="00794BE2">
        <w:t xml:space="preserve">ebenso </w:t>
      </w:r>
      <w:r w:rsidR="003F3E55">
        <w:t xml:space="preserve">verfassungswidrig </w:t>
      </w:r>
      <w:r w:rsidR="00794BE2">
        <w:t>wäre wie der KTF</w:t>
      </w:r>
      <w:r w:rsidR="003F3E55">
        <w:t>, stoppte d</w:t>
      </w:r>
      <w:r w:rsidR="005F3CE4">
        <w:t xml:space="preserve">as Finanzministerium die Auszahlungen </w:t>
      </w:r>
      <w:r w:rsidR="003F3E55">
        <w:t>aus dem Fonds</w:t>
      </w:r>
      <w:r w:rsidR="005F3CE4">
        <w:t xml:space="preserve"> </w:t>
      </w:r>
      <w:r w:rsidR="003F3E55">
        <w:t>bereits</w:t>
      </w:r>
      <w:r w:rsidR="005F3CE4">
        <w:t xml:space="preserve"> </w:t>
      </w:r>
      <w:r>
        <w:t>Ende 2023</w:t>
      </w:r>
      <w:r w:rsidR="003F3E55">
        <w:t xml:space="preserve"> (statt erst im Jahr 2024)</w:t>
      </w:r>
      <w:r w:rsidR="003466F7">
        <w:t xml:space="preserve">. Um bereits geflossene Auszahlungen des WSF rechtlich abzusichern, beschloss die Bundesregierung </w:t>
      </w:r>
      <w:r w:rsidRPr="00C70652">
        <w:t>am 27. November</w:t>
      </w:r>
      <w:r w:rsidR="0017554A" w:rsidRPr="00C70652">
        <w:t xml:space="preserve"> 2023</w:t>
      </w:r>
      <w:r w:rsidRPr="00C70652">
        <w:t xml:space="preserve"> einen Nachtragshaushalt</w:t>
      </w:r>
      <w:r w:rsidR="00C70652" w:rsidRPr="00C70652">
        <w:t xml:space="preserve"> für 2023</w:t>
      </w:r>
      <w:r w:rsidRPr="00C70652">
        <w:t xml:space="preserve">. </w:t>
      </w:r>
      <w:r w:rsidR="0017554A" w:rsidRPr="00C70652">
        <w:t>Für diese</w:t>
      </w:r>
      <w:r w:rsidRPr="00C70652">
        <w:t xml:space="preserve"> nachträgliche Anpassung des Bundeshaushalts, </w:t>
      </w:r>
      <w:r w:rsidR="0017554A" w:rsidRPr="00C70652">
        <w:t>mit dem</w:t>
      </w:r>
      <w:r w:rsidRPr="00C70652">
        <w:t xml:space="preserve"> die Schuldenbremse erneut </w:t>
      </w:r>
      <w:r w:rsidR="00C70652" w:rsidRPr="00C70652">
        <w:t xml:space="preserve">ausgesetzt werden sollte, </w:t>
      </w:r>
      <w:r w:rsidRPr="00C70652">
        <w:t>muss</w:t>
      </w:r>
      <w:r w:rsidR="00C70652" w:rsidRPr="00C70652">
        <w:t>te</w:t>
      </w:r>
      <w:r w:rsidRPr="00C70652">
        <w:t xml:space="preserve"> der Bundestag eine </w:t>
      </w:r>
      <w:r w:rsidR="00D6370C" w:rsidRPr="00C70652">
        <w:t>„</w:t>
      </w:r>
      <w:r w:rsidRPr="00C70652">
        <w:t>außergewöhnliche Notlage</w:t>
      </w:r>
      <w:r w:rsidR="00D6370C" w:rsidRPr="00C70652">
        <w:t>“</w:t>
      </w:r>
      <w:r w:rsidRPr="00C70652">
        <w:t xml:space="preserve"> erklären.</w:t>
      </w:r>
    </w:p>
    <w:p w14:paraId="1302D6D9" w14:textId="1146555E" w:rsidR="00BA5A08" w:rsidRDefault="00C70652" w:rsidP="00BA5A08">
      <w:r w:rsidRPr="00C70652">
        <w:t xml:space="preserve">Hinzu kommt, dass </w:t>
      </w:r>
      <w:r w:rsidR="00BA5A08" w:rsidRPr="00C70652">
        <w:t>die deutsche Wirtschaft</w:t>
      </w:r>
      <w:r w:rsidRPr="00C70652">
        <w:t xml:space="preserve"> aktuell schrumpft</w:t>
      </w:r>
      <w:r w:rsidR="00BA5A08" w:rsidRPr="00C70652">
        <w:t xml:space="preserve">. Für das Jahr 2024 wird ein Minus von 0,2 Prozent erwartet, nachdem die Wirtschaft 2023 </w:t>
      </w:r>
      <w:r w:rsidRPr="00C70652">
        <w:t xml:space="preserve">bereits </w:t>
      </w:r>
      <w:r w:rsidR="00BA5A08" w:rsidRPr="00C70652">
        <w:t>um 0,3 Prozent geschrumpft ist. Die schwächelnde Wirtschaft wirkt sich negativ auf die Staatsfinanzen aus. Weniger Wachstum bedeutet weniger Steuereinnahmen und gleichzeitig steigen die Ausgaben, beispielsweise für Arbeitslosengeld, da oft auch die Arbeitslosigkeit in schwachen Konjunkturzeiten höher ist.</w:t>
      </w:r>
      <w:r w:rsidR="00D6370C" w:rsidRPr="00C70652">
        <w:t xml:space="preserve"> </w:t>
      </w:r>
      <w:r w:rsidR="00BA5A08" w:rsidRPr="00C70652">
        <w:t>Die schlechte Wirtschaftslage verringert den Spielraum im Bundeshaushalt und die Lücke für das kommende Jahr könnte</w:t>
      </w:r>
      <w:r w:rsidR="00D6370C" w:rsidRPr="00C70652">
        <w:t xml:space="preserve"> daher</w:t>
      </w:r>
      <w:r w:rsidR="00BA5A08" w:rsidRPr="00C70652">
        <w:t xml:space="preserve"> noch größer werden.</w:t>
      </w:r>
    </w:p>
    <w:p w14:paraId="38CD3C5C" w14:textId="5CB23BC1" w:rsidR="00A759E5" w:rsidRDefault="00A759E5" w:rsidP="00A759E5">
      <w:pPr>
        <w:spacing w:before="240" w:after="240"/>
      </w:pPr>
      <w:r>
        <w:t>Große Auswirkungen hatte das Urteil</w:t>
      </w:r>
      <w:r w:rsidR="00C70652">
        <w:t xml:space="preserve"> zum Nachtragshaushalt 2021 außerdem auch</w:t>
      </w:r>
      <w:r>
        <w:t xml:space="preserve"> auf die Bundesregierung selbst. Seit dem Urteil tritt die Uneinigkeit der Ampelparteien immer offener zu Tage, vor allem wenn es um die Ausgaben des Bundes geht. </w:t>
      </w:r>
      <w:r w:rsidR="00BA5A08">
        <w:t>Während SPD und Grüne für mehr Schulden plädieren, hält die FDP strikt an der Schuldenbremse fest. Finanzminister Lindner und Bundeskanzler Olaf Scholz gerieten darüber schon öffentlich aneinander. Hinzu kommen schlechte Wahlergebnisse bei Landtagswahlen für die drei Ampelparteien, sodass ein vorzeitiges Aus der Regierung immer wieder im Raum steht und sogar von Teilen der FDP und vor allem von der Opposition gefordert wird.</w:t>
      </w:r>
    </w:p>
    <w:p w14:paraId="47FF0AB0" w14:textId="77777777" w:rsidR="00A759E5" w:rsidRDefault="00A759E5" w:rsidP="00A759E5">
      <w:pPr>
        <w:spacing w:after="240"/>
      </w:pPr>
      <w:r>
        <w:t>In der Politik und bei Ökonomen gibt es unterschiedliche Meinungen dazu, wie es weitergehen soll. Einige, wie der Ökonom Jens Südekum, fordern eine Reform der Schuldenbremse, damit wichtige Zukunftsinvestitionen weiterhin finanziert werden können. Sie argumentieren, dass Deutschland im internationalen Vergleich wenig Schulden hat und mehr investieren sollte, um die Klimaziele zu erreichen. Andere, wie zum Beispiel Finanzminister Lindner, sprechen sich jedoch für Sparmaßnahmen aus, um die Schuldenbremse einzuhalten.</w:t>
      </w:r>
    </w:p>
    <w:p w14:paraId="798A6C50" w14:textId="1B96D495" w:rsidR="00A759E5" w:rsidRDefault="00A759E5" w:rsidP="00D6370C">
      <w:pPr>
        <w:spacing w:before="240"/>
        <w:sectPr w:rsidR="00A759E5" w:rsidSect="00BA5A08">
          <w:type w:val="continuous"/>
          <w:pgSz w:w="11906" w:h="16838" w:code="9"/>
          <w:pgMar w:top="1758" w:right="1276" w:bottom="1531" w:left="1276" w:header="454" w:footer="454" w:gutter="0"/>
          <w:lnNumType w:countBy="5" w:restart="newSection"/>
          <w:cols w:space="708"/>
          <w:docGrid w:linePitch="360"/>
        </w:sectPr>
      </w:pPr>
    </w:p>
    <w:p w14:paraId="40C9E60C" w14:textId="604D4386" w:rsidR="00BA5A08" w:rsidRDefault="00BA5A08" w:rsidP="00BA5A08"/>
    <w:p w14:paraId="0123A79C" w14:textId="77777777" w:rsidR="00BA5A08" w:rsidRDefault="00BA5A08" w:rsidP="00BA5A08"/>
    <w:p w14:paraId="48BB4C3F" w14:textId="4CA2131E" w:rsidR="00BA5A08" w:rsidRDefault="00BA5A08" w:rsidP="00BA5A08">
      <w:r w:rsidRPr="00BA5A08">
        <w:rPr>
          <w:rStyle w:val="ekvnummerierung"/>
        </w:rPr>
        <w:t>1</w:t>
      </w:r>
      <w:r>
        <w:tab/>
        <w:t>Fasse das Urteil des Bundesverfassungsgerichts in eigenen Worten zusammen (</w:t>
      </w:r>
      <w:r w:rsidRPr="00D6370C">
        <w:rPr>
          <w:rStyle w:val="ekvfett"/>
        </w:rPr>
        <w:t>M1</w:t>
      </w:r>
      <w:r>
        <w:t>)</w:t>
      </w:r>
      <w:r w:rsidR="00D6370C">
        <w:t>.</w:t>
      </w:r>
    </w:p>
    <w:p w14:paraId="5468D857" w14:textId="60DA48A5" w:rsidR="00BA5A08" w:rsidRDefault="00BA5A08" w:rsidP="00BA5A08">
      <w:r w:rsidRPr="00BA5A08">
        <w:rPr>
          <w:rStyle w:val="ekvnummerierung"/>
        </w:rPr>
        <w:t>2</w:t>
      </w:r>
      <w:r>
        <w:tab/>
        <w:t>Recherchiere weitere Informationen zum Klima- und Transformationsfond</w:t>
      </w:r>
      <w:r w:rsidR="00D6370C">
        <w:t>s</w:t>
      </w:r>
      <w:r>
        <w:t xml:space="preserve"> (</w:t>
      </w:r>
      <w:r w:rsidRPr="00D6370C">
        <w:rPr>
          <w:rStyle w:val="ekvfett"/>
        </w:rPr>
        <w:t>M2</w:t>
      </w:r>
      <w:r>
        <w:t>)</w:t>
      </w:r>
      <w:r w:rsidR="00D6370C">
        <w:t>.</w:t>
      </w:r>
    </w:p>
    <w:p w14:paraId="55405812" w14:textId="62D53696" w:rsidR="00BA5A08" w:rsidRDefault="00BA5A08" w:rsidP="00BA5A08">
      <w:r w:rsidRPr="00BA5A08">
        <w:rPr>
          <w:rStyle w:val="ekvnummerierung"/>
        </w:rPr>
        <w:t>3</w:t>
      </w:r>
      <w:r>
        <w:tab/>
        <w:t>Erörter</w:t>
      </w:r>
      <w:r w:rsidR="00D6370C">
        <w:t xml:space="preserve">e die </w:t>
      </w:r>
      <w:r>
        <w:t>Folgen des Haushaltsstreits für Politik, Wirtschaft und Gesellschaft (</w:t>
      </w:r>
      <w:r w:rsidRPr="00D6370C">
        <w:rPr>
          <w:rStyle w:val="ekvfett"/>
        </w:rPr>
        <w:t>M3</w:t>
      </w:r>
      <w:r>
        <w:t>)</w:t>
      </w:r>
      <w:r w:rsidR="00D6370C">
        <w:t>.</w:t>
      </w:r>
    </w:p>
    <w:p w14:paraId="2035C016" w14:textId="75EE6F5A" w:rsidR="00BA5A08" w:rsidRPr="000E200F" w:rsidRDefault="00BA5A08" w:rsidP="00BA5A08">
      <w:r w:rsidRPr="00BA5A08">
        <w:rPr>
          <w:rStyle w:val="ekvnummerierung"/>
        </w:rPr>
        <w:t>4</w:t>
      </w:r>
      <w:r>
        <w:tab/>
        <w:t>Diskutier</w:t>
      </w:r>
      <w:r w:rsidR="00D6370C">
        <w:t>t</w:t>
      </w:r>
      <w:r>
        <w:t xml:space="preserve"> mögliche Lösungsansätze aus Sicht der Beteiligten (SPD; GRÜNE, FDP, CDU)</w:t>
      </w:r>
      <w:r w:rsidR="00D6370C">
        <w:t>.</w:t>
      </w:r>
    </w:p>
    <w:sectPr w:rsidR="00BA5A08" w:rsidRPr="000E200F" w:rsidSect="00BA5A0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455CF7" w14:textId="77777777" w:rsidR="00BA5A08" w:rsidRDefault="00BA5A08" w:rsidP="003C599D">
      <w:pPr>
        <w:spacing w:line="240" w:lineRule="auto"/>
      </w:pPr>
      <w:r>
        <w:separator/>
      </w:r>
    </w:p>
  </w:endnote>
  <w:endnote w:type="continuationSeparator" w:id="0">
    <w:p w14:paraId="42DCF554" w14:textId="77777777" w:rsidR="00BA5A08" w:rsidRDefault="00BA5A08"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6659F161" w14:textId="77777777" w:rsidTr="00503EE6">
      <w:trPr>
        <w:trHeight w:hRule="exact" w:val="680"/>
      </w:trPr>
      <w:tc>
        <w:tcPr>
          <w:tcW w:w="864" w:type="dxa"/>
          <w:noWrap/>
        </w:tcPr>
        <w:p w14:paraId="77F0EB75" w14:textId="77777777" w:rsidR="002659C5" w:rsidRPr="00913892" w:rsidRDefault="002659C5" w:rsidP="005E4C30">
          <w:pPr>
            <w:pStyle w:val="ekvpaginabild"/>
            <w:jc w:val="both"/>
          </w:pPr>
          <w:r w:rsidRPr="00913892">
            <w:rPr>
              <w:noProof/>
              <w:lang w:eastAsia="de-DE"/>
            </w:rPr>
            <w:drawing>
              <wp:inline distT="0" distB="0" distL="0" distR="0" wp14:anchorId="7CFE26CF" wp14:editId="3D23CA30">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085D738" w14:textId="1A255079" w:rsidR="002659C5" w:rsidRPr="00913892" w:rsidRDefault="002659C5" w:rsidP="00503EE6">
          <w:pPr>
            <w:pStyle w:val="ekvpagina"/>
          </w:pPr>
          <w:r w:rsidRPr="00913892">
            <w:t xml:space="preserve">© Ernst Klett Verlag GmbH, </w:t>
          </w:r>
          <w:r w:rsidR="00CF40E8">
            <w:t xml:space="preserve">Stuttgart </w:t>
          </w:r>
          <w:r w:rsidR="00A759E5">
            <w:t>2024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F92FAFD" w14:textId="2A4C4246" w:rsidR="002659C5" w:rsidRPr="00913892" w:rsidRDefault="000E200F" w:rsidP="000E200F">
          <w:pPr>
            <w:pStyle w:val="ekvquelle"/>
          </w:pPr>
          <w:r w:rsidRPr="000E200F">
            <w:rPr>
              <w:rStyle w:val="ekvquellefett"/>
            </w:rPr>
            <w:t>Text:</w:t>
          </w:r>
          <w:r>
            <w:t xml:space="preserve"> </w:t>
          </w:r>
          <w:r w:rsidR="00A759E5">
            <w:t>Daniel Fliesen</w:t>
          </w:r>
        </w:p>
      </w:tc>
      <w:tc>
        <w:tcPr>
          <w:tcW w:w="813" w:type="dxa"/>
        </w:tcPr>
        <w:p w14:paraId="34B3874A" w14:textId="77777777" w:rsidR="002659C5" w:rsidRPr="00913892" w:rsidRDefault="002659C5" w:rsidP="00913892">
          <w:pPr>
            <w:pStyle w:val="ekvpagina"/>
          </w:pPr>
        </w:p>
      </w:tc>
    </w:tr>
  </w:tbl>
  <w:p w14:paraId="238E0BBA"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5CF60A" w14:textId="77777777" w:rsidR="00BA5A08" w:rsidRDefault="00BA5A08" w:rsidP="003C599D">
      <w:pPr>
        <w:spacing w:line="240" w:lineRule="auto"/>
      </w:pPr>
      <w:r>
        <w:separator/>
      </w:r>
    </w:p>
  </w:footnote>
  <w:footnote w:type="continuationSeparator" w:id="0">
    <w:p w14:paraId="68B6AAB1" w14:textId="77777777" w:rsidR="00BA5A08" w:rsidRDefault="00BA5A08"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4304B505" w14:textId="77777777" w:rsidTr="00431E62">
      <w:trPr>
        <w:trHeight w:hRule="exact" w:val="510"/>
      </w:trPr>
      <w:tc>
        <w:tcPr>
          <w:tcW w:w="818" w:type="dxa"/>
          <w:tcBorders>
            <w:top w:val="nil"/>
            <w:bottom w:val="nil"/>
            <w:right w:val="nil"/>
          </w:tcBorders>
          <w:noWrap/>
          <w:vAlign w:val="bottom"/>
        </w:tcPr>
        <w:p w14:paraId="22F9DCE4" w14:textId="77777777" w:rsidR="00901B13" w:rsidRPr="00AE65F6" w:rsidRDefault="00901B13" w:rsidP="00901B13"/>
      </w:tc>
      <w:tc>
        <w:tcPr>
          <w:tcW w:w="3856" w:type="dxa"/>
          <w:tcBorders>
            <w:top w:val="nil"/>
            <w:left w:val="nil"/>
            <w:bottom w:val="nil"/>
            <w:right w:val="nil"/>
          </w:tcBorders>
          <w:noWrap/>
          <w:vAlign w:val="bottom"/>
        </w:tcPr>
        <w:p w14:paraId="669BDF48"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4D1BFCD"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DB7CB80"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0F06D7E7" w14:textId="77777777" w:rsidR="00901B13" w:rsidRPr="007C1230" w:rsidRDefault="00901B13" w:rsidP="00901B13">
          <w:pPr>
            <w:pStyle w:val="ekvkvnummer"/>
          </w:pPr>
        </w:p>
      </w:tc>
      <w:tc>
        <w:tcPr>
          <w:tcW w:w="883" w:type="dxa"/>
          <w:tcBorders>
            <w:top w:val="nil"/>
            <w:left w:val="nil"/>
            <w:bottom w:val="nil"/>
          </w:tcBorders>
          <w:noWrap/>
          <w:vAlign w:val="bottom"/>
        </w:tcPr>
        <w:p w14:paraId="149569B3" w14:textId="77777777" w:rsidR="00901B13" w:rsidRPr="007636A0" w:rsidRDefault="00901B13" w:rsidP="00901B13">
          <w:pPr>
            <w:pStyle w:val="ekvkapitel"/>
            <w:rPr>
              <w:color w:val="FFFFFF" w:themeColor="background1"/>
            </w:rPr>
          </w:pPr>
        </w:p>
      </w:tc>
    </w:tr>
    <w:tr w:rsidR="00901B13" w:rsidRPr="00BF17F2" w14:paraId="557026DF"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26A1551D"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164AFA47" w14:textId="77777777" w:rsidR="00901B13" w:rsidRPr="00BF17F2" w:rsidRDefault="00901B13" w:rsidP="00901B13">
          <w:pPr>
            <w:rPr>
              <w:color w:val="FFFFFF" w:themeColor="background1"/>
            </w:rPr>
          </w:pPr>
        </w:p>
      </w:tc>
    </w:tr>
  </w:tbl>
  <w:p w14:paraId="4A9011E0"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A08"/>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1163"/>
    <w:rsid w:val="00103057"/>
    <w:rsid w:val="00107D77"/>
    <w:rsid w:val="00116EF2"/>
    <w:rsid w:val="00124062"/>
    <w:rsid w:val="00126C2B"/>
    <w:rsid w:val="00127294"/>
    <w:rsid w:val="00131417"/>
    <w:rsid w:val="001343C4"/>
    <w:rsid w:val="00137DDD"/>
    <w:rsid w:val="00140765"/>
    <w:rsid w:val="001524C9"/>
    <w:rsid w:val="00161B4B"/>
    <w:rsid w:val="001641FA"/>
    <w:rsid w:val="0016475A"/>
    <w:rsid w:val="00165ECC"/>
    <w:rsid w:val="00166019"/>
    <w:rsid w:val="00172FC5"/>
    <w:rsid w:val="0017554A"/>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5623"/>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466F7"/>
    <w:rsid w:val="00350FBE"/>
    <w:rsid w:val="00357BFF"/>
    <w:rsid w:val="003611D5"/>
    <w:rsid w:val="00362B02"/>
    <w:rsid w:val="0036404C"/>
    <w:rsid w:val="00364D77"/>
    <w:rsid w:val="003653D5"/>
    <w:rsid w:val="00366388"/>
    <w:rsid w:val="003714AA"/>
    <w:rsid w:val="00376A0A"/>
    <w:rsid w:val="00380B14"/>
    <w:rsid w:val="0038356B"/>
    <w:rsid w:val="00384305"/>
    <w:rsid w:val="00387EAA"/>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3F3E55"/>
    <w:rsid w:val="00400E4B"/>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0462"/>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CE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72639"/>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94BE2"/>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5A2"/>
    <w:rsid w:val="00902CEB"/>
    <w:rsid w:val="009064C0"/>
    <w:rsid w:val="009078CB"/>
    <w:rsid w:val="00907EC2"/>
    <w:rsid w:val="00912A0A"/>
    <w:rsid w:val="00913598"/>
    <w:rsid w:val="00913892"/>
    <w:rsid w:val="0091722D"/>
    <w:rsid w:val="009215E3"/>
    <w:rsid w:val="00923BFF"/>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3CE9"/>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E4EF5"/>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759E5"/>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A5A08"/>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652"/>
    <w:rsid w:val="00C70F84"/>
    <w:rsid w:val="00C717DA"/>
    <w:rsid w:val="00C727B3"/>
    <w:rsid w:val="00C72BA2"/>
    <w:rsid w:val="00C84E4C"/>
    <w:rsid w:val="00C87044"/>
    <w:rsid w:val="00C94D17"/>
    <w:rsid w:val="00CB17F5"/>
    <w:rsid w:val="00CB27C6"/>
    <w:rsid w:val="00CB463B"/>
    <w:rsid w:val="00CB5B82"/>
    <w:rsid w:val="00CB782D"/>
    <w:rsid w:val="00CB7ACB"/>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370C"/>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75F48"/>
  <w15:chartTrackingRefBased/>
  <w15:docId w15:val="{D7FBC83E-84F6-457A-A640-0344C13DB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8909A-4E26-4EA3-826D-C83E60E74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960</Words>
  <Characters>6048</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Christoph Neubert</cp:lastModifiedBy>
  <cp:revision>4</cp:revision>
  <cp:lastPrinted>2016-12-23T16:36:00Z</cp:lastPrinted>
  <dcterms:created xsi:type="dcterms:W3CDTF">2024-10-22T06:55:00Z</dcterms:created>
  <dcterms:modified xsi:type="dcterms:W3CDTF">2024-10-22T11:00:00Z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