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D9994" w14:textId="4E0C95AE" w:rsidR="00CF6A72" w:rsidRPr="00033037" w:rsidRDefault="00CF6A72" w:rsidP="00CF6A72">
      <w:r w:rsidRPr="00120ED4">
        <w:rPr>
          <w:b/>
          <w:sz w:val="27"/>
        </w:rPr>
        <w:t xml:space="preserve">Konfliktanalyse Teil </w:t>
      </w:r>
      <w:r>
        <w:rPr>
          <w:b/>
          <w:sz w:val="27"/>
        </w:rPr>
        <w:t>7</w:t>
      </w:r>
      <w:r w:rsidRPr="00120ED4">
        <w:rPr>
          <w:b/>
          <w:sz w:val="27"/>
        </w:rPr>
        <w:t xml:space="preserve">: </w:t>
      </w:r>
      <w:r>
        <w:rPr>
          <w:b/>
          <w:sz w:val="27"/>
        </w:rPr>
        <w:t>Die Lage im Herbst 2024</w:t>
      </w:r>
    </w:p>
    <w:p w14:paraId="77F0B499" w14:textId="77777777" w:rsidR="00CF6A72" w:rsidRDefault="00CF6A72" w:rsidP="00CF6A72"/>
    <w:p w14:paraId="534CD2CA" w14:textId="0A04DF21" w:rsidR="00CF6A72" w:rsidRPr="00312570" w:rsidRDefault="00CF6A72" w:rsidP="00CF6A72">
      <w:pPr>
        <w:rPr>
          <w:rFonts w:eastAsia="Calibri" w:cs="Arial"/>
          <w:b/>
          <w:bCs/>
          <w:kern w:val="2"/>
          <w:sz w:val="22"/>
          <w14:ligatures w14:val="standardContextual"/>
        </w:rPr>
      </w:pPr>
      <w:r w:rsidRPr="0007459E">
        <w:rPr>
          <w:rFonts w:eastAsia="Calibri" w:cs="Arial"/>
          <w:b/>
          <w:bCs/>
          <w:kern w:val="2"/>
          <w:sz w:val="22"/>
          <w:shd w:val="clear" w:color="auto" w:fill="D0CECE" w:themeFill="background2" w:themeFillShade="E6"/>
          <w14:ligatures w14:val="standardContextual"/>
        </w:rPr>
        <w:t>M1</w:t>
      </w:r>
      <w:r w:rsidRPr="00312570">
        <w:rPr>
          <w:rFonts w:eastAsia="Calibri" w:cs="Arial"/>
          <w:b/>
          <w:bCs/>
          <w:kern w:val="2"/>
          <w:sz w:val="22"/>
          <w14:ligatures w14:val="standardContextual"/>
        </w:rPr>
        <w:t xml:space="preserve"> Die Situation in Gaza</w:t>
      </w:r>
    </w:p>
    <w:p w14:paraId="2F2CE4EE" w14:textId="77777777" w:rsidR="00CF6A72" w:rsidRPr="0034026C" w:rsidRDefault="00CF6A72" w:rsidP="00CF6A72">
      <w:pPr>
        <w:rPr>
          <w:rFonts w:eastAsia="Calibri" w:cs="Arial"/>
          <w:kern w:val="2"/>
          <w:sz w:val="22"/>
          <w14:ligatures w14:val="standardContextual"/>
        </w:rPr>
      </w:pPr>
      <w:r w:rsidRPr="0034026C">
        <w:rPr>
          <w:rFonts w:eastAsia="Calibri" w:cs="Arial"/>
          <w:kern w:val="2"/>
          <w:sz w:val="22"/>
          <w14:ligatures w14:val="standardContextual"/>
        </w:rPr>
        <w:t>Die Situation im Gazastreifen ist derzeit äußerst angespannt und von anhaltenden Konflikten geprägt. Nach den massiven Angriffen der Hamas am 7. Oktober 2023, die rund 1.200 Israelis und Angehörige anderer Staaten das Leben kosteten, ist die Region in einem Zustand humanitärer Krise. Die israelische Armee führt umfangreiche Militäroperationen durch, um militante Gruppen zu bekämpfen, wobei bisher über 20 militante Palästinenser getötet wurden.</w:t>
      </w:r>
    </w:p>
    <w:p w14:paraId="68573F92" w14:textId="77777777" w:rsidR="00CF6A72" w:rsidRPr="0034026C" w:rsidRDefault="00CF6A72" w:rsidP="00CF6A72">
      <w:pPr>
        <w:rPr>
          <w:rFonts w:eastAsia="Calibri" w:cs="Arial"/>
          <w:kern w:val="2"/>
          <w:sz w:val="22"/>
          <w14:ligatures w14:val="standardContextual"/>
        </w:rPr>
      </w:pPr>
    </w:p>
    <w:p w14:paraId="762EBE52" w14:textId="77777777" w:rsidR="00CF6A72" w:rsidRPr="0034026C" w:rsidRDefault="00CF6A72" w:rsidP="00CF6A72">
      <w:pPr>
        <w:rPr>
          <w:rFonts w:eastAsia="Calibri" w:cs="Arial"/>
          <w:kern w:val="2"/>
          <w:sz w:val="22"/>
          <w14:ligatures w14:val="standardContextual"/>
        </w:rPr>
      </w:pPr>
      <w:r w:rsidRPr="0034026C">
        <w:rPr>
          <w:rFonts w:eastAsia="Calibri" w:cs="Arial"/>
          <w:kern w:val="2"/>
          <w:sz w:val="22"/>
          <w14:ligatures w14:val="standardContextual"/>
        </w:rPr>
        <w:t>Im Gazastreifen selbst sind laut dem von der Hamas kontrollierten Gesundheitsministerium mehr als 40.400 Palästinenser getötet und über 93.500 verletzt worden. Diese Zahlen sind jedoch umstritten und nicht unabhängig überprüfbar.</w:t>
      </w:r>
    </w:p>
    <w:p w14:paraId="7A483A69" w14:textId="77777777" w:rsidR="00CF6A72" w:rsidRPr="0034026C" w:rsidRDefault="00CF6A72" w:rsidP="00CF6A72">
      <w:pPr>
        <w:rPr>
          <w:rFonts w:eastAsia="Calibri" w:cs="Arial"/>
          <w:kern w:val="2"/>
          <w:sz w:val="22"/>
          <w14:ligatures w14:val="standardContextual"/>
        </w:rPr>
      </w:pPr>
    </w:p>
    <w:p w14:paraId="3FF5BA44" w14:textId="33BB1CF0" w:rsidR="00CF6A72" w:rsidRPr="0034026C" w:rsidRDefault="00CF6A72" w:rsidP="00CF6A72">
      <w:pPr>
        <w:rPr>
          <w:rFonts w:eastAsia="Calibri" w:cs="Arial"/>
          <w:kern w:val="2"/>
          <w:sz w:val="22"/>
          <w14:ligatures w14:val="standardContextual"/>
        </w:rPr>
      </w:pPr>
      <w:r w:rsidRPr="00CF6D41">
        <w:rPr>
          <w:rFonts w:eastAsia="Calibri" w:cs="Arial"/>
          <w:kern w:val="2"/>
          <w:sz w:val="22"/>
          <w14:ligatures w14:val="standardContextual"/>
        </w:rPr>
        <w:t xml:space="preserve">Die Weltgesundheitsorganisation (WHO) </w:t>
      </w:r>
      <w:r w:rsidRPr="00CF6A72">
        <w:rPr>
          <w:rFonts w:eastAsia="Calibri" w:cs="Arial"/>
          <w:kern w:val="2"/>
          <w:sz w:val="22"/>
          <w14:ligatures w14:val="standardContextual"/>
        </w:rPr>
        <w:t>führte Anfang September</w:t>
      </w:r>
      <w:r>
        <w:rPr>
          <w:rFonts w:eastAsia="Calibri" w:cs="Arial"/>
          <w:kern w:val="2"/>
          <w:sz w:val="22"/>
          <w14:ligatures w14:val="standardContextual"/>
        </w:rPr>
        <w:t xml:space="preserve"> 2024</w:t>
      </w:r>
      <w:r w:rsidRPr="00CF6D41">
        <w:rPr>
          <w:rFonts w:eastAsia="Calibri" w:cs="Arial"/>
          <w:kern w:val="2"/>
          <w:sz w:val="22"/>
          <w14:ligatures w14:val="standardContextual"/>
        </w:rPr>
        <w:t xml:space="preserve"> eine </w:t>
      </w:r>
      <w:r>
        <w:rPr>
          <w:rFonts w:eastAsia="Calibri" w:cs="Arial"/>
          <w:kern w:val="2"/>
          <w:sz w:val="22"/>
          <w14:ligatures w14:val="standardContextual"/>
        </w:rPr>
        <w:t xml:space="preserve">große </w:t>
      </w:r>
      <w:r w:rsidRPr="00CF6D41">
        <w:rPr>
          <w:rFonts w:eastAsia="Calibri" w:cs="Arial"/>
          <w:kern w:val="2"/>
          <w:sz w:val="22"/>
          <w14:ligatures w14:val="standardContextual"/>
        </w:rPr>
        <w:t>Impfkampagne gegen Polio</w:t>
      </w:r>
      <w:r>
        <w:rPr>
          <w:rFonts w:eastAsia="Calibri" w:cs="Arial"/>
          <w:kern w:val="2"/>
          <w:sz w:val="22"/>
          <w14:ligatures w14:val="standardContextual"/>
        </w:rPr>
        <w:t>, auch Kinderlähmung genannt,</w:t>
      </w:r>
      <w:r w:rsidRPr="00CF6D41">
        <w:rPr>
          <w:rFonts w:eastAsia="Calibri" w:cs="Arial"/>
          <w:kern w:val="2"/>
          <w:sz w:val="22"/>
          <w14:ligatures w14:val="standardContextual"/>
        </w:rPr>
        <w:t xml:space="preserve"> im Gaza-Streifen</w:t>
      </w:r>
      <w:r>
        <w:rPr>
          <w:rFonts w:eastAsia="Calibri" w:cs="Arial"/>
          <w:kern w:val="2"/>
          <w:sz w:val="22"/>
          <w14:ligatures w14:val="standardContextual"/>
        </w:rPr>
        <w:t xml:space="preserve"> durch</w:t>
      </w:r>
      <w:r w:rsidRPr="00CF6D41">
        <w:rPr>
          <w:rFonts w:eastAsia="Calibri" w:cs="Arial"/>
          <w:kern w:val="2"/>
          <w:sz w:val="22"/>
          <w14:ligatures w14:val="standardContextual"/>
        </w:rPr>
        <w:t xml:space="preserve">. Dies </w:t>
      </w:r>
      <w:r>
        <w:rPr>
          <w:rFonts w:eastAsia="Calibri" w:cs="Arial"/>
          <w:kern w:val="2"/>
          <w:sz w:val="22"/>
          <w14:ligatures w14:val="standardContextual"/>
        </w:rPr>
        <w:t>wurde</w:t>
      </w:r>
      <w:r w:rsidRPr="00CF6D41">
        <w:rPr>
          <w:rFonts w:eastAsia="Calibri" w:cs="Arial"/>
          <w:kern w:val="2"/>
          <w:sz w:val="22"/>
          <w14:ligatures w14:val="standardContextual"/>
        </w:rPr>
        <w:t xml:space="preserve"> durch humanitäre Feuerpausen ermöglicht, die von den Kriegsparteien genehmigt wurden, um Hunderttausende Kinder zu impfen.</w:t>
      </w:r>
      <w:r>
        <w:rPr>
          <w:rFonts w:eastAsia="Calibri" w:cs="Arial"/>
          <w:kern w:val="2"/>
          <w:sz w:val="22"/>
          <w14:ligatures w14:val="standardContextual"/>
        </w:rPr>
        <w:t xml:space="preserve"> </w:t>
      </w:r>
      <w:r w:rsidRPr="00CF6D41">
        <w:rPr>
          <w:rFonts w:eastAsia="Calibri" w:cs="Arial"/>
          <w:kern w:val="2"/>
          <w:sz w:val="22"/>
          <w14:ligatures w14:val="standardContextual"/>
        </w:rPr>
        <w:t xml:space="preserve">Die Kampagne </w:t>
      </w:r>
      <w:r>
        <w:rPr>
          <w:rFonts w:eastAsia="Calibri" w:cs="Arial"/>
          <w:kern w:val="2"/>
          <w:sz w:val="22"/>
          <w14:ligatures w14:val="standardContextual"/>
        </w:rPr>
        <w:t>war</w:t>
      </w:r>
      <w:r w:rsidRPr="00CF6D41">
        <w:rPr>
          <w:rFonts w:eastAsia="Calibri" w:cs="Arial"/>
          <w:kern w:val="2"/>
          <w:sz w:val="22"/>
          <w14:ligatures w14:val="standardContextual"/>
        </w:rPr>
        <w:t xml:space="preserve"> besonders dringlich, da der erste bestätigte Polio-Fall im Gaza-Streifen gemeldet wurde, bei dem ein zehn Monate altes Mädchen eine Lähmung in einem Bein entwickelte.</w:t>
      </w:r>
      <w:r>
        <w:rPr>
          <w:rFonts w:eastAsia="Calibri" w:cs="Arial"/>
          <w:kern w:val="2"/>
          <w:sz w:val="22"/>
          <w14:ligatures w14:val="standardContextual"/>
        </w:rPr>
        <w:t xml:space="preserve"> </w:t>
      </w:r>
      <w:r w:rsidRPr="00CF6A72">
        <w:rPr>
          <w:rFonts w:eastAsia="Calibri" w:cs="Arial"/>
          <w:kern w:val="2"/>
          <w:sz w:val="22"/>
          <w14:ligatures w14:val="standardContextual"/>
        </w:rPr>
        <w:t>Vom 1. September 2024</w:t>
      </w:r>
      <w:r>
        <w:rPr>
          <w:rFonts w:eastAsia="Calibri" w:cs="Arial"/>
          <w:kern w:val="2"/>
          <w:sz w:val="22"/>
          <w14:ligatures w14:val="standardContextual"/>
        </w:rPr>
        <w:t xml:space="preserve"> an</w:t>
      </w:r>
      <w:r w:rsidRPr="0034026C">
        <w:rPr>
          <w:rFonts w:eastAsia="Calibri" w:cs="Arial"/>
          <w:kern w:val="2"/>
          <w:sz w:val="22"/>
          <w14:ligatures w14:val="standardContextual"/>
        </w:rPr>
        <w:t xml:space="preserve"> soll</w:t>
      </w:r>
      <w:r>
        <w:rPr>
          <w:rFonts w:eastAsia="Calibri" w:cs="Arial"/>
          <w:kern w:val="2"/>
          <w:sz w:val="22"/>
          <w14:ligatures w14:val="standardContextual"/>
        </w:rPr>
        <w:t>t</w:t>
      </w:r>
      <w:r w:rsidRPr="0034026C">
        <w:rPr>
          <w:rFonts w:eastAsia="Calibri" w:cs="Arial"/>
          <w:kern w:val="2"/>
          <w:sz w:val="22"/>
          <w14:ligatures w14:val="standardContextual"/>
        </w:rPr>
        <w:t>en die Kämpfe für jeweils drei Tage in verschiedenen Teilen des Gazastreifens eingestellt werden, um 600.000 Kinder zu impfen.</w:t>
      </w:r>
    </w:p>
    <w:p w14:paraId="50F7A0BD" w14:textId="77777777" w:rsidR="00CF6A72" w:rsidRDefault="00CF6A72" w:rsidP="00CF6A72">
      <w:pPr>
        <w:rPr>
          <w:rFonts w:eastAsia="Calibri" w:cs="Arial"/>
          <w:kern w:val="2"/>
          <w:sz w:val="22"/>
          <w14:ligatures w14:val="standardContextual"/>
        </w:rPr>
      </w:pPr>
    </w:p>
    <w:p w14:paraId="46DE4AED" w14:textId="77777777" w:rsidR="00CF6A72" w:rsidRDefault="00CF6A72" w:rsidP="00CF6A72">
      <w:pPr>
        <w:rPr>
          <w:rFonts w:eastAsia="Calibri" w:cs="Arial"/>
          <w:kern w:val="2"/>
          <w:sz w:val="22"/>
          <w14:ligatures w14:val="standardContextual"/>
        </w:rPr>
      </w:pPr>
      <w:r w:rsidRPr="0034026C">
        <w:rPr>
          <w:rFonts w:eastAsia="Calibri" w:cs="Arial"/>
          <w:kern w:val="2"/>
          <w:sz w:val="22"/>
          <w14:ligatures w14:val="standardContextual"/>
        </w:rPr>
        <w:t xml:space="preserve">Die humanitäre Lage </w:t>
      </w:r>
      <w:r>
        <w:rPr>
          <w:rFonts w:eastAsia="Calibri" w:cs="Arial"/>
          <w:kern w:val="2"/>
          <w:sz w:val="22"/>
          <w14:ligatures w14:val="standardContextual"/>
        </w:rPr>
        <w:t xml:space="preserve">in Gaza </w:t>
      </w:r>
      <w:r w:rsidRPr="0034026C">
        <w:rPr>
          <w:rFonts w:eastAsia="Calibri" w:cs="Arial"/>
          <w:kern w:val="2"/>
          <w:sz w:val="22"/>
          <w14:ligatures w14:val="standardContextual"/>
        </w:rPr>
        <w:t xml:space="preserve">bleibt </w:t>
      </w:r>
      <w:r>
        <w:rPr>
          <w:rFonts w:eastAsia="Calibri" w:cs="Arial"/>
          <w:kern w:val="2"/>
          <w:sz w:val="22"/>
          <w14:ligatures w14:val="standardContextual"/>
        </w:rPr>
        <w:t xml:space="preserve">also </w:t>
      </w:r>
      <w:r w:rsidRPr="0034026C">
        <w:rPr>
          <w:rFonts w:eastAsia="Calibri" w:cs="Arial"/>
          <w:kern w:val="2"/>
          <w:sz w:val="22"/>
          <w14:ligatures w14:val="standardContextual"/>
        </w:rPr>
        <w:t xml:space="preserve">kritisch, da die Zivilbevölkerung unter den fortdauernden Kämpfen </w:t>
      </w:r>
      <w:r>
        <w:rPr>
          <w:rFonts w:eastAsia="Calibri" w:cs="Arial"/>
          <w:kern w:val="2"/>
          <w:sz w:val="22"/>
          <w14:ligatures w14:val="standardContextual"/>
        </w:rPr>
        <w:t xml:space="preserve">und die Gefahr einer Hungersnot besteht. Die Verteilung der Hilfsgüter im Gazastreifen gestaltet sich laut Hilfsorganisationen weiter als schwierig. </w:t>
      </w:r>
    </w:p>
    <w:p w14:paraId="20926DAC" w14:textId="77777777" w:rsidR="00CF6A72" w:rsidRDefault="00CF6A72" w:rsidP="00CF6A72">
      <w:pPr>
        <w:pStyle w:val="ekvaufzhlung"/>
        <w:rPr>
          <w:rFonts w:eastAsia="Calibri" w:cs="Arial"/>
          <w:b/>
          <w:bCs/>
          <w:kern w:val="2"/>
          <w:sz w:val="22"/>
          <w14:ligatures w14:val="standardContextual"/>
        </w:rPr>
      </w:pPr>
    </w:p>
    <w:p w14:paraId="2C8625D8" w14:textId="77777777" w:rsidR="00CF6A72" w:rsidRDefault="00CF6A72" w:rsidP="00CF6A72">
      <w:pPr>
        <w:pStyle w:val="ekvaufzhlung"/>
      </w:pPr>
      <w:r w:rsidRPr="0007459E">
        <w:rPr>
          <w:rFonts w:eastAsia="Calibri" w:cs="Arial"/>
          <w:b/>
          <w:bCs/>
          <w:kern w:val="2"/>
          <w:sz w:val="22"/>
          <w:shd w:val="clear" w:color="auto" w:fill="D0CECE" w:themeFill="background2" w:themeFillShade="E6"/>
          <w14:ligatures w14:val="standardContextual"/>
        </w:rPr>
        <w:t>M2</w:t>
      </w:r>
      <w:r w:rsidRPr="00A90055">
        <w:rPr>
          <w:rFonts w:eastAsia="Calibri" w:cs="Arial"/>
          <w:b/>
          <w:bCs/>
          <w:kern w:val="2"/>
          <w:sz w:val="22"/>
          <w14:ligatures w14:val="standardContextual"/>
        </w:rPr>
        <w:t xml:space="preserve"> </w:t>
      </w:r>
      <w:r>
        <w:rPr>
          <w:rFonts w:eastAsia="Calibri" w:cs="Arial"/>
          <w:b/>
          <w:bCs/>
          <w:kern w:val="2"/>
          <w:sz w:val="22"/>
          <w14:ligatures w14:val="standardContextual"/>
        </w:rPr>
        <w:t>Kriegsgefahr in Nahost?</w:t>
      </w:r>
    </w:p>
    <w:p w14:paraId="47F34A78" w14:textId="77777777" w:rsidR="00CF6A72" w:rsidRPr="00C877F0" w:rsidRDefault="00CF6A72" w:rsidP="00CF6A72">
      <w:pPr>
        <w:spacing w:after="160" w:line="259" w:lineRule="auto"/>
        <w:rPr>
          <w:sz w:val="22"/>
        </w:rPr>
      </w:pPr>
      <w:r w:rsidRPr="00C877F0">
        <w:rPr>
          <w:sz w:val="22"/>
        </w:rPr>
        <w:t xml:space="preserve">Die Spannungen im Nahen Osten sind seit den Tötungen von Hamas- und Hisbollah-Anführern gestiegen, und es wird ein möglicher Angriff des Iran und seiner Verbündeten auf Israel befürchtet. </w:t>
      </w:r>
      <w:r>
        <w:rPr>
          <w:sz w:val="22"/>
        </w:rPr>
        <w:t xml:space="preserve">Der Iran wirft Israel vor, den ehemaligen Chef der Hamas, Ismail </w:t>
      </w:r>
      <w:proofErr w:type="spellStart"/>
      <w:r>
        <w:rPr>
          <w:sz w:val="22"/>
        </w:rPr>
        <w:t>Haniya</w:t>
      </w:r>
      <w:proofErr w:type="spellEnd"/>
      <w:r>
        <w:rPr>
          <w:sz w:val="22"/>
        </w:rPr>
        <w:t xml:space="preserve">, mitten in Teheran mit einer Drohne getötet zu haben. </w:t>
      </w:r>
      <w:r w:rsidRPr="00C877F0">
        <w:rPr>
          <w:sz w:val="22"/>
        </w:rPr>
        <w:t xml:space="preserve">Berichten zufolge könnte ein </w:t>
      </w:r>
      <w:r>
        <w:rPr>
          <w:sz w:val="22"/>
        </w:rPr>
        <w:t>großer Vergeltungsangriff durch den Iran oder die Hisbollah</w:t>
      </w:r>
      <w:r w:rsidRPr="00C877F0">
        <w:rPr>
          <w:sz w:val="22"/>
        </w:rPr>
        <w:t xml:space="preserve"> erfolgen</w:t>
      </w:r>
      <w:r>
        <w:rPr>
          <w:sz w:val="22"/>
        </w:rPr>
        <w:t>, da der Iran es sich innen- und außenpolitisch nicht leisten kann, nicht zu reagieren.</w:t>
      </w:r>
      <w:r w:rsidRPr="00C877F0">
        <w:rPr>
          <w:sz w:val="22"/>
        </w:rPr>
        <w:t xml:space="preserve"> Der Iran verfügt über eine bedeutende militärische Stärke, während die Hisbollah im Libanon ein großes Arsenal an Raketen hat.</w:t>
      </w:r>
    </w:p>
    <w:p w14:paraId="5B7CBD80" w14:textId="77777777" w:rsidR="00CF6A72" w:rsidRPr="00C877F0" w:rsidRDefault="00CF6A72" w:rsidP="00CF6A72">
      <w:pPr>
        <w:spacing w:after="160" w:line="259" w:lineRule="auto"/>
        <w:rPr>
          <w:sz w:val="22"/>
        </w:rPr>
      </w:pPr>
      <w:r w:rsidRPr="00C877F0">
        <w:rPr>
          <w:sz w:val="22"/>
        </w:rPr>
        <w:t xml:space="preserve">Israel hat seine Armee in höchste Alarmbereitschaft versetzt und bereitet sich auf mögliche Angriffe vor. Die USA haben ihre Militärpräsenz in der Region verstärkt </w:t>
      </w:r>
      <w:r>
        <w:rPr>
          <w:sz w:val="22"/>
        </w:rPr>
        <w:t>und einen zweiten Flugzeugträger in das Mittelmeer entsandt, um</w:t>
      </w:r>
      <w:r w:rsidRPr="00C877F0">
        <w:rPr>
          <w:sz w:val="22"/>
        </w:rPr>
        <w:t xml:space="preserve"> Israel </w:t>
      </w:r>
      <w:r>
        <w:rPr>
          <w:sz w:val="22"/>
        </w:rPr>
        <w:t xml:space="preserve">seine </w:t>
      </w:r>
      <w:r w:rsidRPr="00C877F0">
        <w:rPr>
          <w:sz w:val="22"/>
        </w:rPr>
        <w:t>Unterstützung</w:t>
      </w:r>
      <w:r>
        <w:rPr>
          <w:sz w:val="22"/>
        </w:rPr>
        <w:t xml:space="preserve"> zu versichern</w:t>
      </w:r>
      <w:r w:rsidRPr="00C877F0">
        <w:rPr>
          <w:sz w:val="22"/>
        </w:rPr>
        <w:t>. Gleichzeitig bemühen sich Katar, Ägypten und Jordanien um Vermittlung, jedoch gibt es wenig Hoffnung auf Deeskalation, da der Iran direkte Gespräche ablehnt.</w:t>
      </w:r>
    </w:p>
    <w:p w14:paraId="5B7EC485" w14:textId="77777777" w:rsidR="00CF6A72" w:rsidRDefault="00CF6A72" w:rsidP="00CF6A72">
      <w:pPr>
        <w:spacing w:after="160" w:line="259" w:lineRule="auto"/>
        <w:rPr>
          <w:sz w:val="22"/>
        </w:rPr>
      </w:pPr>
      <w:r w:rsidRPr="00C877F0">
        <w:rPr>
          <w:sz w:val="22"/>
        </w:rPr>
        <w:t xml:space="preserve">Die Sicherheitslage bleibt </w:t>
      </w:r>
      <w:proofErr w:type="gramStart"/>
      <w:r>
        <w:rPr>
          <w:sz w:val="22"/>
        </w:rPr>
        <w:t xml:space="preserve">extrem </w:t>
      </w:r>
      <w:r w:rsidRPr="00C877F0">
        <w:rPr>
          <w:sz w:val="22"/>
        </w:rPr>
        <w:t>angespannt</w:t>
      </w:r>
      <w:proofErr w:type="gramEnd"/>
      <w:r w:rsidRPr="00C877F0">
        <w:rPr>
          <w:sz w:val="22"/>
        </w:rPr>
        <w:t>, mit gegenseitigen Angriffen zwischen der Hisbollah und Israel sowie fortgesetzten israelischen Luftangriffen im Gazastreifen. Die internationale Gemeinschaft beobachtet die Entwicklungen mit Besorgnis, da die Möglichkeit eines größeren Konflikts weiterhin besteht.</w:t>
      </w:r>
    </w:p>
    <w:p w14:paraId="7E8DE930" w14:textId="6B1C4002" w:rsidR="00CF6A72" w:rsidRPr="00A816DA" w:rsidRDefault="00CF6A72" w:rsidP="00CF6A72">
      <w:pPr>
        <w:spacing w:line="259" w:lineRule="auto"/>
        <w:rPr>
          <w:b/>
          <w:bCs/>
          <w:sz w:val="22"/>
        </w:rPr>
      </w:pPr>
      <w:r>
        <w:rPr>
          <w:sz w:val="22"/>
        </w:rPr>
        <w:br w:type="column"/>
      </w:r>
      <w:r w:rsidRPr="0007459E">
        <w:rPr>
          <w:b/>
          <w:bCs/>
          <w:sz w:val="22"/>
          <w:shd w:val="clear" w:color="auto" w:fill="D0CECE" w:themeFill="background2" w:themeFillShade="E6"/>
        </w:rPr>
        <w:lastRenderedPageBreak/>
        <w:t>M3</w:t>
      </w:r>
      <w:r w:rsidRPr="00A816DA">
        <w:rPr>
          <w:b/>
          <w:bCs/>
          <w:sz w:val="22"/>
        </w:rPr>
        <w:t xml:space="preserve"> Demonstrationen in Israel</w:t>
      </w:r>
    </w:p>
    <w:p w14:paraId="2537DE36" w14:textId="2E35F650" w:rsidR="00CF6A72" w:rsidRPr="00E03532" w:rsidRDefault="00CF6A72" w:rsidP="00CF6A72">
      <w:pPr>
        <w:spacing w:after="160" w:line="259" w:lineRule="auto"/>
        <w:rPr>
          <w:sz w:val="22"/>
        </w:rPr>
      </w:pPr>
      <w:r w:rsidRPr="00CF6A72">
        <w:rPr>
          <w:sz w:val="22"/>
        </w:rPr>
        <w:t>Fast ein Jahr nach dem Terrorangriff der Hamas auf Israel sind</w:t>
      </w:r>
      <w:r w:rsidRPr="00E03532">
        <w:rPr>
          <w:sz w:val="22"/>
        </w:rPr>
        <w:t xml:space="preserve"> noch immer mehr als 120 Geiseln im Gazastreifen in Haft, was zu zunehmender Wut und Protesten gegen Premierminister Benjamin Netanyahu führt. Tausende Israelis demonstrierten </w:t>
      </w:r>
      <w:r>
        <w:rPr>
          <w:sz w:val="22"/>
        </w:rPr>
        <w:t xml:space="preserve">wiederholt </w:t>
      </w:r>
      <w:r w:rsidRPr="00E03532">
        <w:rPr>
          <w:sz w:val="22"/>
        </w:rPr>
        <w:t xml:space="preserve">in Tel Aviv und anderen Städten für einen Deal zur Freilassung der Geiseln und forderten eine Waffenruhe. Protestierende kritisierten Netanyahu dafür, dass er die Geiseln im Stich lasse, </w:t>
      </w:r>
      <w:r>
        <w:rPr>
          <w:sz w:val="22"/>
        </w:rPr>
        <w:t xml:space="preserve">den Konflikt weiter eskaliere </w:t>
      </w:r>
      <w:r w:rsidRPr="00E03532">
        <w:rPr>
          <w:sz w:val="22"/>
        </w:rPr>
        <w:t>und forderten Neuwahlen.</w:t>
      </w:r>
    </w:p>
    <w:p w14:paraId="6B547630" w14:textId="77777777" w:rsidR="00CF6A72" w:rsidRDefault="00CF6A72" w:rsidP="00CF6A72">
      <w:pPr>
        <w:spacing w:after="160" w:line="259" w:lineRule="auto"/>
        <w:rPr>
          <w:sz w:val="22"/>
        </w:rPr>
      </w:pPr>
      <w:r w:rsidRPr="00E03532">
        <w:rPr>
          <w:sz w:val="22"/>
        </w:rPr>
        <w:t>Berichte über mögliche Fortschritte in den Verhandlungen zur Geiselfreilassung, vermittelt von Katar, Ägypten und den USA, haben die Proteste angeheizt. Die Hamas hat ihre Forderungen etwas gelockert, während Israel weiterhin die Option eines militärischen Vorgehens gegen die Hamas offenhält.</w:t>
      </w:r>
    </w:p>
    <w:p w14:paraId="2246EE99" w14:textId="77777777" w:rsidR="00CF6A72" w:rsidRDefault="00CF6A72" w:rsidP="00CF6A72">
      <w:pPr>
        <w:spacing w:after="160" w:line="259" w:lineRule="auto"/>
        <w:rPr>
          <w:sz w:val="22"/>
        </w:rPr>
      </w:pPr>
      <w:r>
        <w:rPr>
          <w:sz w:val="22"/>
        </w:rPr>
        <w:t xml:space="preserve">Immer wieder gelingt es den israelischen Streitkräften, Geiseln aus den Händen der Hamas zu befreien, allerdings wurden wiederholt auch getötete Geiseln geborgen. </w:t>
      </w:r>
    </w:p>
    <w:p w14:paraId="163C316F" w14:textId="77777777" w:rsidR="00CF6A72" w:rsidRDefault="00CF6A72" w:rsidP="00CF6A72">
      <w:pPr>
        <w:spacing w:after="160" w:line="259" w:lineRule="auto"/>
        <w:rPr>
          <w:b/>
          <w:bCs/>
          <w:sz w:val="22"/>
        </w:rPr>
      </w:pPr>
    </w:p>
    <w:p w14:paraId="1E413E9A" w14:textId="77777777" w:rsidR="00CF6A72" w:rsidRPr="004430FF" w:rsidRDefault="00CF6A72" w:rsidP="00CF6A72">
      <w:pPr>
        <w:spacing w:line="259" w:lineRule="auto"/>
        <w:rPr>
          <w:b/>
          <w:bCs/>
          <w:sz w:val="22"/>
        </w:rPr>
      </w:pPr>
      <w:r w:rsidRPr="0007459E">
        <w:rPr>
          <w:b/>
          <w:bCs/>
          <w:sz w:val="22"/>
          <w:shd w:val="clear" w:color="auto" w:fill="D0CECE" w:themeFill="background2" w:themeFillShade="E6"/>
        </w:rPr>
        <w:t>M4</w:t>
      </w:r>
      <w:r w:rsidRPr="004430FF">
        <w:rPr>
          <w:b/>
          <w:bCs/>
          <w:sz w:val="22"/>
        </w:rPr>
        <w:t xml:space="preserve"> UNO-Sicherheitsrat fordert ein Ende der Kämpfe</w:t>
      </w:r>
    </w:p>
    <w:p w14:paraId="480B542A" w14:textId="77777777" w:rsidR="00CF6A72" w:rsidRPr="008F0A80" w:rsidRDefault="00CF6A72" w:rsidP="00CF6A72">
      <w:pPr>
        <w:spacing w:after="160" w:line="259" w:lineRule="auto"/>
        <w:rPr>
          <w:sz w:val="22"/>
        </w:rPr>
      </w:pPr>
      <w:r>
        <w:rPr>
          <w:sz w:val="22"/>
        </w:rPr>
        <w:t>I</w:t>
      </w:r>
      <w:r w:rsidRPr="008F0A80">
        <w:rPr>
          <w:sz w:val="22"/>
        </w:rPr>
        <w:t>m August 2024 wurde ein Fahrzeug des Welternährungsprogramms der Vereinten Nationen (WFP) im Gazastreifen von mindestens zehn Kugeln der israelischen Armee getroffen. Israel führte diesen Vorfall auf „Kommunikationsprobleme“ zwischen seinen Militäreinheiten zurück. Der stellvertretende US-Botschafter bei den Vereinten Nationen, Robert Wood, informierte darüber im UNO-Sicherheitsrat und forderte Israel auf, diese Probleme umgehend zu beheben.</w:t>
      </w:r>
    </w:p>
    <w:p w14:paraId="75A8AE44" w14:textId="77777777" w:rsidR="00CF6A72" w:rsidRPr="008F0A80" w:rsidRDefault="00CF6A72" w:rsidP="00CF6A72">
      <w:pPr>
        <w:spacing w:after="160" w:line="259" w:lineRule="auto"/>
        <w:rPr>
          <w:sz w:val="22"/>
        </w:rPr>
      </w:pPr>
      <w:r w:rsidRPr="008F0A80">
        <w:rPr>
          <w:sz w:val="22"/>
        </w:rPr>
        <w:t>Wood wies darauf hin, dass Israel nicht nur die Verantwortung für den Vorfall übernehmen, sondern auch konkrete Maßnahmen ergreifen müsse, um zukünftige Angriffe auf UN-Personal zu verhindern. In Reaktion auf den Vorfall hatte das WFP den Transport seiner Mitarbeiter im Gazastreifen vorübergehend eingestellt. Das betroffene Fahrzeug war in der Nähe eines israelischen Militärkontrollpunkts getroffen worden, wobei glücklicherweise niemand verletzt wurde.</w:t>
      </w:r>
    </w:p>
    <w:p w14:paraId="63324CD4" w14:textId="77777777" w:rsidR="00CF6A72" w:rsidRPr="008F0A80" w:rsidRDefault="00CF6A72" w:rsidP="00CF6A72">
      <w:pPr>
        <w:spacing w:after="160" w:line="259" w:lineRule="auto"/>
        <w:rPr>
          <w:sz w:val="22"/>
        </w:rPr>
      </w:pPr>
      <w:r w:rsidRPr="008F0A80">
        <w:rPr>
          <w:sz w:val="22"/>
        </w:rPr>
        <w:t>Darüber hinaus hat der UNO-Sicherheitsrat in einer einstimmigen Resolution ein Ende der Kämpfe zwischen der libanesischen Hisbollah und den israelischen Streitkräften gefordert, um eine Eskalation zu vermeiden, die zu einem umfassenden Konflikt führen könnte. Außerdem wurde die Friedensmission im Libanon, die seit über 40 Jahren in einer Pufferzone zwischen Israel und dem Libanon aktiv ist, um ein weiteres Jahr verlängert.</w:t>
      </w:r>
    </w:p>
    <w:p w14:paraId="1BBA5109" w14:textId="77777777" w:rsidR="00CF6A72" w:rsidRPr="008F0A80" w:rsidRDefault="00CF6A72" w:rsidP="00CF6A72">
      <w:pPr>
        <w:spacing w:after="160" w:line="259" w:lineRule="auto"/>
        <w:rPr>
          <w:sz w:val="22"/>
        </w:rPr>
      </w:pPr>
      <w:r w:rsidRPr="008F0A80">
        <w:rPr>
          <w:sz w:val="22"/>
        </w:rPr>
        <w:t xml:space="preserve">In einem anderen Zusammenhang haben die USA neue Sanktionen gegen israelische Siedler im besetzten Westjordanland verhängt, insbesondere gegen die Organisation </w:t>
      </w:r>
      <w:proofErr w:type="spellStart"/>
      <w:r w:rsidRPr="008F0A80">
        <w:rPr>
          <w:sz w:val="22"/>
        </w:rPr>
        <w:t>Hashomer</w:t>
      </w:r>
      <w:proofErr w:type="spellEnd"/>
      <w:r w:rsidRPr="008F0A80">
        <w:rPr>
          <w:sz w:val="22"/>
        </w:rPr>
        <w:t xml:space="preserve"> </w:t>
      </w:r>
      <w:proofErr w:type="spellStart"/>
      <w:r w:rsidRPr="008F0A80">
        <w:rPr>
          <w:sz w:val="22"/>
        </w:rPr>
        <w:t>Yosh</w:t>
      </w:r>
      <w:proofErr w:type="spellEnd"/>
      <w:r w:rsidRPr="008F0A80">
        <w:rPr>
          <w:sz w:val="22"/>
        </w:rPr>
        <w:t>. Diese Maßnahmen wurden als Reaktion auf die Gewalt extremistischer Siedler ergriffen, die das menschliche Leid in der Region verstärken und die Friedensaussichten gefährden.</w:t>
      </w:r>
    </w:p>
    <w:p w14:paraId="55C38EF3" w14:textId="77777777" w:rsidR="00CF6A72" w:rsidRPr="008F0A80" w:rsidRDefault="00CF6A72" w:rsidP="00CF6A72">
      <w:pPr>
        <w:spacing w:after="160" w:line="259" w:lineRule="auto"/>
        <w:rPr>
          <w:sz w:val="22"/>
        </w:rPr>
      </w:pPr>
      <w:r w:rsidRPr="008F0A80">
        <w:rPr>
          <w:sz w:val="22"/>
        </w:rPr>
        <w:t xml:space="preserve">Gleichzeitig führte das israelische Militär eine umfassende Operation im Westjordanland durch, insbesondere in den Städten Dschenin und </w:t>
      </w:r>
      <w:proofErr w:type="spellStart"/>
      <w:r w:rsidRPr="008F0A80">
        <w:rPr>
          <w:sz w:val="22"/>
        </w:rPr>
        <w:t>Tulkarem</w:t>
      </w:r>
      <w:proofErr w:type="spellEnd"/>
      <w:r w:rsidRPr="008F0A80">
        <w:rPr>
          <w:sz w:val="22"/>
        </w:rPr>
        <w:t xml:space="preserve">. Dabei wurden </w:t>
      </w:r>
      <w:r>
        <w:rPr>
          <w:sz w:val="22"/>
        </w:rPr>
        <w:t xml:space="preserve">laut israelischen Angaben neun </w:t>
      </w:r>
      <w:r w:rsidRPr="008F0A80">
        <w:rPr>
          <w:sz w:val="22"/>
        </w:rPr>
        <w:t>Extremisten getötet und fünf festgenommen, während die israelischen Streitkräfte den Zugang zu Krankenhäusern in Dschenin blockierten.</w:t>
      </w:r>
    </w:p>
    <w:p w14:paraId="2BE57DB7" w14:textId="77777777" w:rsidR="00CF6A72" w:rsidRDefault="00CF6A72" w:rsidP="00CF6A72">
      <w:pPr>
        <w:pStyle w:val="ekvaufzhlung"/>
        <w:ind w:left="720" w:firstLine="0"/>
      </w:pPr>
    </w:p>
    <w:p w14:paraId="1E14A222" w14:textId="1E1B834C" w:rsidR="00CF6A72" w:rsidRDefault="00CF6A72" w:rsidP="00CF6A72">
      <w:pPr>
        <w:pStyle w:val="ekvaufzhlung"/>
        <w:numPr>
          <w:ilvl w:val="0"/>
          <w:numId w:val="1"/>
        </w:numPr>
      </w:pPr>
      <w:r>
        <w:t xml:space="preserve">Verschaffen Sie sich mithilfe der Materialen einen Überblick über die Lage im Nahostkonflikt </w:t>
      </w:r>
      <w:r w:rsidRPr="00CF6A72">
        <w:t>im Herbst 2024. Fassen Sie wesentliche Punkte zusammen.</w:t>
      </w:r>
      <w:r>
        <w:t xml:space="preserve"> </w:t>
      </w:r>
    </w:p>
    <w:p w14:paraId="189CC53A" w14:textId="77777777" w:rsidR="00CF6A72" w:rsidRDefault="00CF6A72" w:rsidP="00CF6A72">
      <w:pPr>
        <w:pStyle w:val="ekvaufzhlung"/>
        <w:numPr>
          <w:ilvl w:val="0"/>
          <w:numId w:val="1"/>
        </w:numPr>
      </w:pPr>
      <w:r>
        <w:t xml:space="preserve">Erläutern Sie, welche Kritik am israelischen Vorgehen deutlich wird. </w:t>
      </w:r>
    </w:p>
    <w:p w14:paraId="137AA781" w14:textId="4FF6C92D" w:rsidR="00901B13" w:rsidRPr="000E200F" w:rsidRDefault="00CF6A72" w:rsidP="000E200F">
      <w:pPr>
        <w:pStyle w:val="ekvaufzhlung"/>
        <w:numPr>
          <w:ilvl w:val="0"/>
          <w:numId w:val="1"/>
        </w:numPr>
      </w:pPr>
      <w:r>
        <w:t xml:space="preserve">Diskutieren Sie auf Basis der Materialien und Ihres Vorwissens das israelische Vorgehen in Gaza kritisch. </w:t>
      </w:r>
    </w:p>
    <w:sectPr w:rsidR="00901B13" w:rsidRPr="000E200F"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921CF9" w14:textId="77777777" w:rsidR="00CF6A72" w:rsidRDefault="00CF6A72" w:rsidP="003C599D">
      <w:pPr>
        <w:spacing w:line="240" w:lineRule="auto"/>
      </w:pPr>
      <w:r>
        <w:separator/>
      </w:r>
    </w:p>
  </w:endnote>
  <w:endnote w:type="continuationSeparator" w:id="0">
    <w:p w14:paraId="3D07EFB8" w14:textId="77777777" w:rsidR="00CF6A72" w:rsidRDefault="00CF6A7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79D71D32" w14:textId="77777777" w:rsidTr="00503EE6">
      <w:trPr>
        <w:trHeight w:hRule="exact" w:val="680"/>
      </w:trPr>
      <w:tc>
        <w:tcPr>
          <w:tcW w:w="864" w:type="dxa"/>
          <w:noWrap/>
        </w:tcPr>
        <w:p w14:paraId="519D3BF8" w14:textId="77777777" w:rsidR="002659C5" w:rsidRPr="00913892" w:rsidRDefault="002659C5" w:rsidP="005E4C30">
          <w:pPr>
            <w:pStyle w:val="ekvpaginabild"/>
            <w:jc w:val="both"/>
          </w:pPr>
          <w:r w:rsidRPr="00913892">
            <w:rPr>
              <w:noProof/>
              <w:lang w:eastAsia="de-DE"/>
            </w:rPr>
            <w:drawing>
              <wp:inline distT="0" distB="0" distL="0" distR="0" wp14:anchorId="289555CB" wp14:editId="040919ED">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81288BD" w14:textId="2B1C0548" w:rsidR="002659C5" w:rsidRPr="00913892" w:rsidRDefault="002659C5" w:rsidP="00503EE6">
          <w:pPr>
            <w:pStyle w:val="ekvpagina"/>
          </w:pPr>
          <w:r w:rsidRPr="00913892">
            <w:t xml:space="preserve">© Ernst Klett Verlag GmbH, </w:t>
          </w:r>
          <w:r w:rsidR="00CF40E8">
            <w:t>Stuttgart 20</w:t>
          </w:r>
          <w:r w:rsidR="00CF6A72">
            <w:t>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20869BB6" w14:textId="78AF1425" w:rsidR="002659C5" w:rsidRPr="00913892" w:rsidRDefault="000E200F" w:rsidP="000E200F">
          <w:pPr>
            <w:pStyle w:val="ekvquelle"/>
          </w:pPr>
          <w:r w:rsidRPr="000E200F">
            <w:rPr>
              <w:rStyle w:val="ekvquellefett"/>
            </w:rPr>
            <w:t>Text:</w:t>
          </w:r>
          <w:r>
            <w:t xml:space="preserve"> </w:t>
          </w:r>
          <w:r w:rsidR="00CF6A72">
            <w:t>Daniel Fliesen</w:t>
          </w:r>
        </w:p>
      </w:tc>
      <w:tc>
        <w:tcPr>
          <w:tcW w:w="813" w:type="dxa"/>
        </w:tcPr>
        <w:p w14:paraId="67105D45" w14:textId="77777777" w:rsidR="002659C5" w:rsidRPr="00913892" w:rsidRDefault="002659C5" w:rsidP="00913892">
          <w:pPr>
            <w:pStyle w:val="ekvpagina"/>
          </w:pPr>
        </w:p>
      </w:tc>
    </w:tr>
  </w:tbl>
  <w:p w14:paraId="4C87EE0A"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F75A93" w14:textId="77777777" w:rsidR="00CF6A72" w:rsidRDefault="00CF6A72" w:rsidP="003C599D">
      <w:pPr>
        <w:spacing w:line="240" w:lineRule="auto"/>
      </w:pPr>
      <w:r>
        <w:separator/>
      </w:r>
    </w:p>
  </w:footnote>
  <w:footnote w:type="continuationSeparator" w:id="0">
    <w:p w14:paraId="6CDDE28C" w14:textId="77777777" w:rsidR="00CF6A72" w:rsidRDefault="00CF6A7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59E18BB9" w14:textId="77777777" w:rsidTr="00431E62">
      <w:trPr>
        <w:trHeight w:hRule="exact" w:val="510"/>
      </w:trPr>
      <w:tc>
        <w:tcPr>
          <w:tcW w:w="818" w:type="dxa"/>
          <w:tcBorders>
            <w:top w:val="nil"/>
            <w:bottom w:val="nil"/>
            <w:right w:val="nil"/>
          </w:tcBorders>
          <w:noWrap/>
          <w:vAlign w:val="bottom"/>
        </w:tcPr>
        <w:p w14:paraId="0D5E72D9" w14:textId="77777777" w:rsidR="00901B13" w:rsidRPr="00AE65F6" w:rsidRDefault="00901B13" w:rsidP="00901B13"/>
      </w:tc>
      <w:tc>
        <w:tcPr>
          <w:tcW w:w="3856" w:type="dxa"/>
          <w:tcBorders>
            <w:top w:val="nil"/>
            <w:left w:val="nil"/>
            <w:bottom w:val="nil"/>
            <w:right w:val="nil"/>
          </w:tcBorders>
          <w:noWrap/>
          <w:vAlign w:val="bottom"/>
        </w:tcPr>
        <w:p w14:paraId="7B68B14A"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A66688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45C40A2F"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0CC78784" w14:textId="77777777" w:rsidR="00901B13" w:rsidRPr="007C1230" w:rsidRDefault="00901B13" w:rsidP="00901B13">
          <w:pPr>
            <w:pStyle w:val="ekvkvnummer"/>
          </w:pPr>
        </w:p>
      </w:tc>
      <w:tc>
        <w:tcPr>
          <w:tcW w:w="883" w:type="dxa"/>
          <w:tcBorders>
            <w:top w:val="nil"/>
            <w:left w:val="nil"/>
            <w:bottom w:val="nil"/>
          </w:tcBorders>
          <w:noWrap/>
          <w:vAlign w:val="bottom"/>
        </w:tcPr>
        <w:p w14:paraId="5DA68FA5" w14:textId="77777777" w:rsidR="00901B13" w:rsidRPr="007636A0" w:rsidRDefault="00901B13" w:rsidP="00901B13">
          <w:pPr>
            <w:pStyle w:val="ekvkapitel"/>
            <w:rPr>
              <w:color w:val="FFFFFF" w:themeColor="background1"/>
            </w:rPr>
          </w:pPr>
        </w:p>
      </w:tc>
    </w:tr>
    <w:tr w:rsidR="00901B13" w:rsidRPr="00BF17F2" w14:paraId="1965CAE4"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CBA2FCB"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DC854B0" w14:textId="77777777" w:rsidR="00901B13" w:rsidRPr="00BF17F2" w:rsidRDefault="00901B13" w:rsidP="00901B13">
          <w:pPr>
            <w:rPr>
              <w:color w:val="FFFFFF" w:themeColor="background1"/>
            </w:rPr>
          </w:pPr>
        </w:p>
      </w:tc>
    </w:tr>
  </w:tbl>
  <w:p w14:paraId="71255655"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A7A71"/>
    <w:multiLevelType w:val="hybridMultilevel"/>
    <w:tmpl w:val="EF4E0B20"/>
    <w:lvl w:ilvl="0" w:tplc="AA843958">
      <w:start w:val="1"/>
      <w:numFmt w:val="decimal"/>
      <w:lvlText w:val="%1"/>
      <w:lvlJc w:val="left"/>
      <w:pPr>
        <w:ind w:left="360" w:hanging="360"/>
      </w:pPr>
      <w:rPr>
        <w:rFonts w:hint="default"/>
        <w:b/>
        <w:sz w:val="24"/>
      </w:rPr>
    </w:lvl>
    <w:lvl w:ilvl="1" w:tplc="296C88EC">
      <w:start w:val="1"/>
      <w:numFmt w:val="lowerLetter"/>
      <w:lvlText w:val="%2."/>
      <w:lvlJc w:val="left"/>
      <w:pPr>
        <w:ind w:left="1080" w:hanging="360"/>
      </w:pPr>
      <w:rPr>
        <w:b/>
        <w:bCs/>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94395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A72"/>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459E"/>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118E"/>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3709"/>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46B6"/>
    <w:rsid w:val="007C1230"/>
    <w:rsid w:val="007D186F"/>
    <w:rsid w:val="007E4DDC"/>
    <w:rsid w:val="007E5E71"/>
    <w:rsid w:val="007E67B3"/>
    <w:rsid w:val="007F57FC"/>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A72"/>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EAF20"/>
  <w15:chartTrackingRefBased/>
  <w15:docId w15:val="{24BF59F0-EB3D-4B67-873D-B464E5164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CF6A72"/>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k40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5522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2024-09-10T14:03:00Z</dcterms:created>
  <dcterms:modified xsi:type="dcterms:W3CDTF">2024-09-11T08:07:00Z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