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mc:Ignorable="w14 w15 w16se w16cid w16 w16cex w16sdtdh w16du wp14">
  <w:body>
    <w:p w14:paraId="2D20D5F3" w14:textId="3078EE73" w:rsidR="00D02104" w:rsidRDefault="00D02104" w:rsidP="00D02104">
      <w:pPr>
        <w:pStyle w:val="ekvue2arial"/>
      </w:pPr>
      <w:r>
        <w:t>Die Zusammensetzung des Bundeshaushalts</w:t>
      </w:r>
    </w:p>
    <w:p w14:paraId="5277997D" w14:textId="77777777" w:rsidR="00D02104" w:rsidRPr="005B216C" w:rsidRDefault="00D02104" w:rsidP="00D02104">
      <w:pPr>
        <w:pStyle w:val="ekvaufzhlung"/>
        <w:rPr>
          <w:rFonts w:cs="Arial"/>
          <w:sz w:val="22"/>
        </w:rPr>
      </w:pPr>
    </w:p>
    <w:p w14:paraId="0B52D0D4" w14:textId="364917BF" w:rsidR="00D02104" w:rsidRPr="00BB27EB" w:rsidRDefault="00D02104" w:rsidP="00D02104">
      <w:pPr>
        <w:pStyle w:val="ekvue3arial"/>
      </w:pPr>
      <w:r w:rsidRPr="00D02104">
        <w:rPr>
          <w:shd w:val="clear" w:color="auto" w:fill="D0CECE" w:themeFill="background2" w:themeFillShade="E6"/>
        </w:rPr>
        <w:t>M1</w:t>
      </w:r>
      <w:r w:rsidRPr="00BB27EB">
        <w:t xml:space="preserve"> </w:t>
      </w:r>
      <w:r>
        <w:t>Der Bundeshaushalt 2024</w:t>
      </w:r>
    </w:p>
    <w:p w14:paraId="03220B58" w14:textId="628DB94F" w:rsidR="00D02104" w:rsidRPr="005B216C" w:rsidRDefault="00D02104" w:rsidP="00D02104">
      <w:pPr>
        <w:pStyle w:val="ekvaufzhlung"/>
        <w:rPr>
          <w:noProof/>
        </w:rPr>
      </w:pPr>
      <w:r w:rsidRPr="005B216C">
        <w:rPr>
          <w:noProof/>
        </w:rPr>
        <w:drawing>
          <wp:anchor distT="0" distB="0" distL="114300" distR="114300" simplePos="0" relativeHeight="251659264" behindDoc="0" locked="0" layoutInCell="1" allowOverlap="1" wp14:anchorId="1BEC2463" wp14:editId="4C15D3A8">
            <wp:simplePos x="0" y="0"/>
            <wp:positionH relativeFrom="margin">
              <wp:align>left</wp:align>
            </wp:positionH>
            <wp:positionV relativeFrom="paragraph">
              <wp:posOffset>191770</wp:posOffset>
            </wp:positionV>
            <wp:extent cx="5810250" cy="3305175"/>
            <wp:effectExtent l="0" t="0" r="0" b="9525"/>
            <wp:wrapTopAndBottom/>
            <wp:docPr id="2011015913"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1A7D4C4" w14:textId="720AEBC1" w:rsidR="00D02104" w:rsidRPr="00F471A0" w:rsidRDefault="005B216C" w:rsidP="00F471A0">
      <w:r>
        <w:rPr>
          <w:noProof/>
        </w:rPr>
        <w:drawing>
          <wp:anchor distT="0" distB="0" distL="114300" distR="114300" simplePos="0" relativeHeight="251660288" behindDoc="0" locked="0" layoutInCell="1" allowOverlap="1" wp14:anchorId="2C7BC6AD" wp14:editId="7C65B7D5">
            <wp:simplePos x="0" y="0"/>
            <wp:positionH relativeFrom="margin">
              <wp:posOffset>1270</wp:posOffset>
            </wp:positionH>
            <wp:positionV relativeFrom="paragraph">
              <wp:posOffset>3535680</wp:posOffset>
            </wp:positionV>
            <wp:extent cx="5810250" cy="4250055"/>
            <wp:effectExtent l="0" t="0" r="0" b="17145"/>
            <wp:wrapTopAndBottom/>
            <wp:docPr id="992496870"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321D2E27" w14:textId="77777777" w:rsidR="00D02104" w:rsidRPr="00BB27EB" w:rsidRDefault="00D02104" w:rsidP="00D02104">
      <w:pPr>
        <w:pStyle w:val="ekvue3arial"/>
      </w:pPr>
      <w:r w:rsidRPr="00D02104">
        <w:rPr>
          <w:shd w:val="clear" w:color="auto" w:fill="D0CECE" w:themeFill="background2" w:themeFillShade="E6"/>
        </w:rPr>
        <w:t>M2</w:t>
      </w:r>
      <w:r w:rsidRPr="00BB27EB">
        <w:t xml:space="preserve"> </w:t>
      </w:r>
      <w:r>
        <w:t>Zusammensetzung und Zustandekommen des Bundeshaushalts</w:t>
      </w:r>
    </w:p>
    <w:p w14:paraId="6C84CD82" w14:textId="77777777" w:rsidR="00D02104" w:rsidRDefault="00D02104" w:rsidP="00D02104">
      <w:r w:rsidRPr="00C920C9">
        <w:t>Der deutsche Bundeshaushalt ist ein zentrales Instrument der Finanzpolitik und regelt die Einnahmen und Ausgaben des Bundes für ein Kalenderjahr. Er bildet die finanzielle Grundlage für die Umsetzung politischer Ziele und ist ein Spiegelbild der Prioritäten der Bundesregierung. Die Aufstellung des Bundeshaushalts erfolgt jährlich und ist ein aufwändiger Prozess, der in mehreren Schritten abläuft.</w:t>
      </w:r>
    </w:p>
    <w:p w14:paraId="5EC336E0" w14:textId="77777777" w:rsidR="00D02104" w:rsidRPr="00C920C9" w:rsidRDefault="00D02104" w:rsidP="00D02104"/>
    <w:p w14:paraId="3DCCF075" w14:textId="77777777" w:rsidR="00D02104" w:rsidRPr="00D02104" w:rsidRDefault="00D02104" w:rsidP="00D02104">
      <w:pPr>
        <w:rPr>
          <w:rStyle w:val="ekvfett"/>
        </w:rPr>
      </w:pPr>
      <w:r w:rsidRPr="00D02104">
        <w:rPr>
          <w:rStyle w:val="ekvfett"/>
        </w:rPr>
        <w:t>Aufstellung und Verabschiedung des Bundeshaushalts</w:t>
      </w:r>
    </w:p>
    <w:p w14:paraId="7A3198A2" w14:textId="77777777" w:rsidR="00D02104" w:rsidRPr="00C920C9" w:rsidRDefault="00D02104" w:rsidP="00D02104">
      <w:r w:rsidRPr="00C920C9">
        <w:t>Der Bundeshaushalt wird vom Bundesministerium der Finanzen (BMF) vorbereitet. In einem ersten Schritt sammeln die einzelnen Ministerien ihre Bedarfsmeldungen und leiten sie an das BMF weiter. Dort wird ein Haushaltsentwurf erstellt, der die verschiedenen Ausgabenwünsche abwägt und versucht, diese mit den erwarteten Einnahmen in Einklang zu bringen. Ein wichtiges Ziel dabei ist die Einhaltung der Schuldenbremse, die im Grundgesetz verankert ist und eine Neuverschuldung nur in sehr begrenztem Umfang zulässt.</w:t>
      </w:r>
    </w:p>
    <w:p w14:paraId="5BB980C7" w14:textId="77777777" w:rsidR="00D02104" w:rsidRDefault="00D02104" w:rsidP="00D02104">
      <w:r w:rsidRPr="00C920C9">
        <w:t>Der Haushaltsentwurf wird anschließend vom Bundeskabinett beschlossen und als Gesetzesentwurf in den Deutschen Bundestag eingebracht. Dort durchläuft er mehrere Lesungen und Beratungen in den Fachausschüssen. Besonders intensiv wird der Entwurf im Haushaltsausschuss diskutiert, wo die Abgeordneten oft auch Änderungsanträge einbringen. Nach den Beratungen im Bundestag muss der Bundeshaushalt auch den Bundesrat passieren, bevor er schließlich vom Bundespräsidenten unterzeichnet und somit als Gesetz in Kraft gesetzt wird.</w:t>
      </w:r>
    </w:p>
    <w:p w14:paraId="50C5FC5B" w14:textId="77777777" w:rsidR="00D02104" w:rsidRPr="00C920C9" w:rsidRDefault="00D02104" w:rsidP="00D02104"/>
    <w:p w14:paraId="768E2AEE" w14:textId="77777777" w:rsidR="00D02104" w:rsidRPr="00D02104" w:rsidRDefault="00D02104" w:rsidP="00D02104">
      <w:pPr>
        <w:rPr>
          <w:rStyle w:val="ekvfett"/>
        </w:rPr>
      </w:pPr>
      <w:r w:rsidRPr="00D02104">
        <w:rPr>
          <w:rStyle w:val="ekvfett"/>
        </w:rPr>
        <w:t>Einnahmen und Ausgaben</w:t>
      </w:r>
    </w:p>
    <w:p w14:paraId="4711E818" w14:textId="77777777" w:rsidR="00D02104" w:rsidRPr="00C920C9" w:rsidRDefault="00D02104" w:rsidP="00D02104">
      <w:r w:rsidRPr="00C920C9">
        <w:t xml:space="preserve">Die Einnahmen des Bundeshaushalts setzen sich hauptsächlich aus Steuern zusammen. Dazu </w:t>
      </w:r>
      <w:proofErr w:type="gramStart"/>
      <w:r w:rsidRPr="00C920C9">
        <w:t>gehören</w:t>
      </w:r>
      <w:proofErr w:type="gramEnd"/>
      <w:r w:rsidRPr="00C920C9">
        <w:t xml:space="preserve"> die Einkommensteuer, die Körperschaftsteuer, die Mehrwertsteuer sowie verschiedene Verbrauchssteuern. Daneben gibt es Einnahmen aus Beiträgen, Gebühren und sonstigen Abgaben sowie aus wirtschaftlicher Betätigung des Staates, z. B. Gewinne aus Staatsunternehmen.</w:t>
      </w:r>
    </w:p>
    <w:p w14:paraId="1501AF79" w14:textId="77777777" w:rsidR="00D02104" w:rsidRDefault="00D02104" w:rsidP="00D02104">
      <w:r w:rsidRPr="00C920C9">
        <w:t>Auf der Ausgabenseite stehen die Sozialausgaben an erster Stelle, darunter insbesondere die Renten- und Krankenversicherung sowie Arbeitslosenunterstützung und Familienleistungen. Ein weiterer großer Posten sind die Verteidigungsausgaben, gefolgt von Investitionen in Infrastruktur, Bildung und Forschung, Umwelt- und Klimaschutz sowie die Schuldenbedienung, also die Zinszahlungen für bestehende Staatsschulden.</w:t>
      </w:r>
    </w:p>
    <w:p w14:paraId="442ABE24" w14:textId="77777777" w:rsidR="00D02104" w:rsidRPr="00C920C9" w:rsidRDefault="00D02104" w:rsidP="00D02104"/>
    <w:p w14:paraId="7CB564C2" w14:textId="77777777" w:rsidR="00D02104" w:rsidRPr="00D02104" w:rsidRDefault="00D02104" w:rsidP="00D02104">
      <w:pPr>
        <w:rPr>
          <w:rStyle w:val="ekvfett"/>
        </w:rPr>
      </w:pPr>
      <w:r w:rsidRPr="00D02104">
        <w:rPr>
          <w:rStyle w:val="ekvfett"/>
        </w:rPr>
        <w:t>Bedeutung und Herausforderungen</w:t>
      </w:r>
    </w:p>
    <w:p w14:paraId="55E76255" w14:textId="77777777" w:rsidR="00D02104" w:rsidRPr="00C920C9" w:rsidRDefault="00D02104" w:rsidP="00D02104">
      <w:r w:rsidRPr="00C920C9">
        <w:t>Der Bundeshaushalt hat eine zentrale Bedeutung für die Steuerung der staatlichen Aktivitäten und die Erfüllung öffentlicher Aufgaben. Er ist ein wichtiges Mittel zur Wirtschaftspolitik, indem er Konjunkturzyklen glättet und durch gezielte Investitionen Wachstumsimpulse setzt. Zugleich muss er die langfristige Tragfähigkeit der Staatsfinanzen sichern und dabei soziale Gerechtigkeit, wirtschaftliche Stabilität und nachhaltige Entwicklung miteinander in Einklang bringen.</w:t>
      </w:r>
    </w:p>
    <w:p w14:paraId="28B43A76" w14:textId="30310CFE" w:rsidR="00D02104" w:rsidRDefault="00D02104" w:rsidP="00D02104">
      <w:r w:rsidRPr="00C920C9">
        <w:t>Eine der größten Herausforderungen in der Haushaltsplanung ist die Bewältigung unvorhergesehener Ausgaben, wie sie etwa durch Naturkatastrophen, Pandemien oder wirtschaftliche Krisen entstehen können. Hinzu kommt die Notwendigkeit, auf strukturelle Veränderungen</w:t>
      </w:r>
      <w:r w:rsidR="00307F84">
        <w:t>,</w:t>
      </w:r>
      <w:r w:rsidRPr="00C920C9">
        <w:t xml:space="preserve"> wie den demografischen Wandel oder die Digitalisierung</w:t>
      </w:r>
      <w:r w:rsidR="00307F84">
        <w:t>,</w:t>
      </w:r>
      <w:r w:rsidRPr="00C920C9">
        <w:t xml:space="preserve"> zu reagieren. Dies erfordert eine flexible und vorausschauende Finanzpolitik, die in der Lage ist, auf veränderte Rahmenbedingungen rasch zu reagieren, ohne die langfristigen Ziele aus den Augen zu verlieren.</w:t>
      </w:r>
    </w:p>
    <w:p w14:paraId="0D39EF9B" w14:textId="77777777" w:rsidR="00D02104" w:rsidRPr="00C920C9" w:rsidRDefault="00D02104" w:rsidP="00D02104"/>
    <w:p w14:paraId="253383B5" w14:textId="77777777" w:rsidR="00D02104" w:rsidRPr="00D02104" w:rsidRDefault="00D02104" w:rsidP="00D02104">
      <w:pPr>
        <w:rPr>
          <w:rStyle w:val="ekvfett"/>
        </w:rPr>
      </w:pPr>
      <w:r w:rsidRPr="00D02104">
        <w:rPr>
          <w:rStyle w:val="ekvfett"/>
        </w:rPr>
        <w:t>Fazit</w:t>
      </w:r>
    </w:p>
    <w:p w14:paraId="3DB6C494" w14:textId="7C4B841C" w:rsidR="00D02104" w:rsidRDefault="00D02104" w:rsidP="00307F84">
      <w:r w:rsidRPr="00C920C9">
        <w:t xml:space="preserve">Der Bundeshaushalt ist ein komplexes Konstrukt, das weit mehr ist als eine bloße Auflistung von Einnahmen und Ausgaben. </w:t>
      </w:r>
      <w:r w:rsidR="00307F84">
        <w:t>Der Bundeshaushalt</w:t>
      </w:r>
      <w:r w:rsidRPr="00C920C9">
        <w:t xml:space="preserve"> spiegelt die politischen Prioritäten wider und ist ein wichtiges Instrument der staatlichen Lenkung. </w:t>
      </w:r>
      <w:r w:rsidR="00307F84">
        <w:t>D</w:t>
      </w:r>
      <w:r w:rsidRPr="00C920C9">
        <w:t xml:space="preserve">ie Auseinandersetzung </w:t>
      </w:r>
      <w:r w:rsidR="00307F84">
        <w:t>damit bietet</w:t>
      </w:r>
      <w:r w:rsidRPr="00C920C9">
        <w:t xml:space="preserve"> eine gute Gelegenheit, die Funktionsweise des Staates, die Verteilung öffentlicher Mittel und die Herausforderungen einer nachhaltigen Finanzpolitik besser zu verstehen.</w:t>
      </w:r>
    </w:p>
    <w:p w14:paraId="27A039CF" w14:textId="11916951" w:rsidR="00D02104" w:rsidRDefault="00F471A0" w:rsidP="00F471A0">
      <w:pPr>
        <w:rPr>
          <w:rFonts w:cs="Arial"/>
        </w:rPr>
      </w:pPr>
      <w:r>
        <w:rPr>
          <w:bCs/>
        </w:rPr>
        <w:br w:type="column"/>
      </w:r>
      <w:r w:rsidR="00307F84" w:rsidRPr="00307F84">
        <w:rPr>
          <w:rStyle w:val="ekvnummerierung"/>
        </w:rPr>
        <w:lastRenderedPageBreak/>
        <w:t>1</w:t>
      </w:r>
      <w:r w:rsidR="00307F84">
        <w:rPr>
          <w:rFonts w:cs="Arial"/>
        </w:rPr>
        <w:t xml:space="preserve"> </w:t>
      </w:r>
      <w:r w:rsidR="00D02104">
        <w:rPr>
          <w:rFonts w:cs="Arial"/>
        </w:rPr>
        <w:t>Analysiere die Zusammensetzung des Bundeshaushalts für das Jahr 2024 (</w:t>
      </w:r>
      <w:r w:rsidR="00D02104" w:rsidRPr="00307F84">
        <w:rPr>
          <w:rFonts w:cs="Arial"/>
          <w:b/>
          <w:bCs/>
        </w:rPr>
        <w:t>M1</w:t>
      </w:r>
      <w:r w:rsidR="00D02104">
        <w:rPr>
          <w:rFonts w:cs="Arial"/>
        </w:rPr>
        <w:t>)</w:t>
      </w:r>
      <w:r w:rsidR="00307F84">
        <w:rPr>
          <w:rFonts w:cs="Arial"/>
        </w:rPr>
        <w:t>.</w:t>
      </w:r>
    </w:p>
    <w:p w14:paraId="48D67E16" w14:textId="3B1997E6" w:rsidR="00D02104" w:rsidRDefault="00307F84" w:rsidP="00307F84">
      <w:pPr>
        <w:pStyle w:val="ekvaufzhlung"/>
        <w:rPr>
          <w:rFonts w:cs="Arial"/>
        </w:rPr>
      </w:pPr>
      <w:r w:rsidRPr="00307F84">
        <w:rPr>
          <w:rStyle w:val="ekvnummerierung"/>
        </w:rPr>
        <w:t>2</w:t>
      </w:r>
      <w:r>
        <w:rPr>
          <w:rFonts w:cs="Arial"/>
        </w:rPr>
        <w:t xml:space="preserve"> </w:t>
      </w:r>
      <w:r w:rsidR="00D02104">
        <w:rPr>
          <w:rFonts w:cs="Arial"/>
        </w:rPr>
        <w:t xml:space="preserve">Untersuche die Zusammensetzung des Bundeshaushalts genauer, indem du mit den interaktiven Daten </w:t>
      </w:r>
      <w:r w:rsidR="005B216C">
        <w:rPr>
          <w:rFonts w:cs="Arial"/>
        </w:rPr>
        <w:t xml:space="preserve">der Internetseite des Bundeshaushalts </w:t>
      </w:r>
      <w:r w:rsidR="00D02104">
        <w:rPr>
          <w:rFonts w:cs="Arial"/>
        </w:rPr>
        <w:t>arbeitest</w:t>
      </w:r>
      <w:r w:rsidR="005B216C">
        <w:rPr>
          <w:rFonts w:cs="Arial"/>
        </w:rPr>
        <w:t xml:space="preserve"> (</w:t>
      </w:r>
      <w:r w:rsidR="005B216C" w:rsidRPr="005B216C">
        <w:rPr>
          <w:rFonts w:cs="Arial"/>
          <w:b/>
          <w:bCs/>
        </w:rPr>
        <w:t>https://www.bundeshaushalt.de/DE/Bundeshaushalt-digital/bundeshaushalt-digital.html</w:t>
      </w:r>
      <w:r w:rsidR="005B216C" w:rsidRPr="005B216C">
        <w:rPr>
          <w:rFonts w:cs="Arial"/>
        </w:rPr>
        <w:t>)</w:t>
      </w:r>
      <w:r w:rsidR="00D02104" w:rsidRPr="005B216C">
        <w:rPr>
          <w:rFonts w:cs="Arial"/>
        </w:rPr>
        <w:t>.</w:t>
      </w:r>
    </w:p>
    <w:p w14:paraId="67AFDB32" w14:textId="64C87747" w:rsidR="00D02104" w:rsidRDefault="00307F84" w:rsidP="00307F84">
      <w:pPr>
        <w:pStyle w:val="ekvaufzhlung"/>
        <w:rPr>
          <w:rFonts w:cs="Arial"/>
        </w:rPr>
      </w:pPr>
      <w:r w:rsidRPr="00307F84">
        <w:rPr>
          <w:rStyle w:val="ekvnummerierung"/>
        </w:rPr>
        <w:t>3</w:t>
      </w:r>
      <w:r>
        <w:rPr>
          <w:rFonts w:cs="Arial"/>
        </w:rPr>
        <w:t xml:space="preserve"> </w:t>
      </w:r>
      <w:r w:rsidR="00D02104">
        <w:rPr>
          <w:rFonts w:cs="Arial"/>
        </w:rPr>
        <w:t>Erkläre, wie sich der Bundeshaushalt zusammensetzt und wie er beschlossen wird (</w:t>
      </w:r>
      <w:r w:rsidR="00D02104" w:rsidRPr="00307F84">
        <w:rPr>
          <w:rFonts w:cs="Arial"/>
          <w:b/>
          <w:bCs/>
        </w:rPr>
        <w:t>M2</w:t>
      </w:r>
      <w:r w:rsidR="00D02104">
        <w:rPr>
          <w:rFonts w:cs="Arial"/>
        </w:rPr>
        <w:t>)</w:t>
      </w:r>
      <w:r>
        <w:rPr>
          <w:rFonts w:cs="Arial"/>
        </w:rPr>
        <w:t>.</w:t>
      </w:r>
    </w:p>
    <w:p w14:paraId="4F78F3A0" w14:textId="69597A0F" w:rsidR="00901B13" w:rsidRPr="00307F84" w:rsidRDefault="00307F84" w:rsidP="00307F84">
      <w:pPr>
        <w:pStyle w:val="ekvaufzhlung"/>
        <w:rPr>
          <w:rFonts w:cs="Arial"/>
        </w:rPr>
      </w:pPr>
      <w:r w:rsidRPr="00307F84">
        <w:rPr>
          <w:rStyle w:val="ekvnummerierung"/>
        </w:rPr>
        <w:t>4</w:t>
      </w:r>
      <w:r>
        <w:rPr>
          <w:rFonts w:cs="Arial"/>
        </w:rPr>
        <w:t xml:space="preserve"> </w:t>
      </w:r>
      <w:r w:rsidR="00D02104" w:rsidRPr="00F471A0">
        <w:t>Die Bundesregierung wird aktuell dafür kritisiert, dass sie trotz Rekordsteuereinnahmen Schwierigkeiten hat, einen Haushalt für 2025 zu beschließen. Diskutiere dies vor dem Hintergrund der Ausgaben im Bundeshaushalt kritisch.</w:t>
      </w:r>
    </w:p>
    <w:sectPr w:rsidR="00901B13" w:rsidRPr="00307F84" w:rsidSect="00720DCE">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F5B0B" w14:textId="77777777" w:rsidR="00D02104" w:rsidRDefault="00D02104" w:rsidP="003C599D">
      <w:pPr>
        <w:spacing w:line="240" w:lineRule="auto"/>
      </w:pPr>
      <w:r>
        <w:separator/>
      </w:r>
    </w:p>
  </w:endnote>
  <w:endnote w:type="continuationSeparator" w:id="0">
    <w:p w14:paraId="4D5582D7" w14:textId="77777777" w:rsidR="00D02104" w:rsidRDefault="00D0210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D297C3" w14:textId="77777777" w:rsidTr="00503EE6">
      <w:trPr>
        <w:trHeight w:hRule="exact" w:val="680"/>
      </w:trPr>
      <w:tc>
        <w:tcPr>
          <w:tcW w:w="864" w:type="dxa"/>
          <w:noWrap/>
        </w:tcPr>
        <w:p w14:paraId="392FDD43" w14:textId="77777777" w:rsidR="002659C5" w:rsidRPr="00913892" w:rsidRDefault="002659C5" w:rsidP="005E4C30">
          <w:pPr>
            <w:pStyle w:val="ekvpaginabild"/>
            <w:jc w:val="both"/>
          </w:pPr>
          <w:r w:rsidRPr="00913892">
            <w:rPr>
              <w:noProof/>
              <w:lang w:eastAsia="de-DE"/>
            </w:rPr>
            <w:drawing>
              <wp:inline distT="0" distB="0" distL="0" distR="0" wp14:anchorId="4BD14CB8" wp14:editId="3778F98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C482EF9" w14:textId="617F671D" w:rsidR="002659C5" w:rsidRPr="00913892" w:rsidRDefault="002659C5" w:rsidP="00503EE6">
          <w:pPr>
            <w:pStyle w:val="ekvpagina"/>
          </w:pPr>
          <w:r w:rsidRPr="00913892">
            <w:t xml:space="preserve">© Ernst Klett Verlag GmbH, </w:t>
          </w:r>
          <w:r w:rsidR="00CF40E8">
            <w:t>Stuttgart 20</w:t>
          </w:r>
          <w:r w:rsidR="00F471A0">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83F0C47" w14:textId="573F713D" w:rsidR="000E200F" w:rsidRDefault="000E200F" w:rsidP="000E200F">
          <w:pPr>
            <w:pStyle w:val="ekvquelle"/>
          </w:pPr>
          <w:r w:rsidRPr="000E200F">
            <w:rPr>
              <w:rStyle w:val="ekvquellefett"/>
            </w:rPr>
            <w:t>Abbildungen:</w:t>
          </w:r>
          <w:r>
            <w:t xml:space="preserve"> </w:t>
          </w:r>
          <w:r w:rsidR="005B216C">
            <w:t xml:space="preserve">Daniel Fliesen, nach: </w:t>
          </w:r>
          <w:r w:rsidR="005B216C" w:rsidRPr="005B216C">
            <w:t>https://www.bundeshaushalt.de/DE/Bundeshaushalt-digital/bundeshaushalt-digital.html</w:t>
          </w:r>
          <w:r w:rsidR="005B216C">
            <w:t xml:space="preserve"> </w:t>
          </w:r>
        </w:p>
        <w:p w14:paraId="25C6E985" w14:textId="5630664F" w:rsidR="002659C5" w:rsidRPr="00913892" w:rsidRDefault="000E200F" w:rsidP="000E200F">
          <w:pPr>
            <w:pStyle w:val="ekvquelle"/>
          </w:pPr>
          <w:r w:rsidRPr="000E200F">
            <w:rPr>
              <w:rStyle w:val="ekvquellefett"/>
            </w:rPr>
            <w:t>Text:</w:t>
          </w:r>
          <w:r>
            <w:t xml:space="preserve"> </w:t>
          </w:r>
          <w:r w:rsidR="00F471A0">
            <w:t>David Beckeherm, Daniel Fliesen</w:t>
          </w:r>
        </w:p>
      </w:tc>
      <w:tc>
        <w:tcPr>
          <w:tcW w:w="813" w:type="dxa"/>
        </w:tcPr>
        <w:p w14:paraId="5AF9522E" w14:textId="77777777" w:rsidR="002659C5" w:rsidRPr="00913892" w:rsidRDefault="002659C5" w:rsidP="00913892">
          <w:pPr>
            <w:pStyle w:val="ekvpagina"/>
          </w:pPr>
        </w:p>
      </w:tc>
    </w:tr>
  </w:tbl>
  <w:p w14:paraId="0F14E0A5"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32534" w14:textId="77777777" w:rsidR="00D02104" w:rsidRDefault="00D02104" w:rsidP="003C599D">
      <w:pPr>
        <w:spacing w:line="240" w:lineRule="auto"/>
      </w:pPr>
      <w:r>
        <w:separator/>
      </w:r>
    </w:p>
  </w:footnote>
  <w:footnote w:type="continuationSeparator" w:id="0">
    <w:p w14:paraId="0FAAEDD2" w14:textId="77777777" w:rsidR="00D02104" w:rsidRDefault="00D0210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1185ABA" w14:textId="77777777" w:rsidTr="00431E62">
      <w:trPr>
        <w:trHeight w:hRule="exact" w:val="510"/>
      </w:trPr>
      <w:tc>
        <w:tcPr>
          <w:tcW w:w="818" w:type="dxa"/>
          <w:tcBorders>
            <w:top w:val="nil"/>
            <w:bottom w:val="nil"/>
            <w:right w:val="nil"/>
          </w:tcBorders>
          <w:noWrap/>
          <w:vAlign w:val="bottom"/>
        </w:tcPr>
        <w:p w14:paraId="00396B5A" w14:textId="77777777" w:rsidR="00901B13" w:rsidRPr="00AE65F6" w:rsidRDefault="00901B13" w:rsidP="00901B13"/>
      </w:tc>
      <w:tc>
        <w:tcPr>
          <w:tcW w:w="3856" w:type="dxa"/>
          <w:tcBorders>
            <w:top w:val="nil"/>
            <w:left w:val="nil"/>
            <w:bottom w:val="nil"/>
            <w:right w:val="nil"/>
          </w:tcBorders>
          <w:noWrap/>
          <w:vAlign w:val="bottom"/>
        </w:tcPr>
        <w:p w14:paraId="35D80B2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C2FA3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AA5AAB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092E3AF" w14:textId="77777777" w:rsidR="00901B13" w:rsidRPr="007C1230" w:rsidRDefault="00901B13" w:rsidP="00901B13">
          <w:pPr>
            <w:pStyle w:val="ekvkvnummer"/>
          </w:pPr>
        </w:p>
      </w:tc>
      <w:tc>
        <w:tcPr>
          <w:tcW w:w="883" w:type="dxa"/>
          <w:tcBorders>
            <w:top w:val="nil"/>
            <w:left w:val="nil"/>
            <w:bottom w:val="nil"/>
          </w:tcBorders>
          <w:noWrap/>
          <w:vAlign w:val="bottom"/>
        </w:tcPr>
        <w:p w14:paraId="6E3562B3" w14:textId="77777777" w:rsidR="00901B13" w:rsidRPr="007636A0" w:rsidRDefault="00901B13" w:rsidP="00901B13">
          <w:pPr>
            <w:pStyle w:val="ekvkapitel"/>
            <w:rPr>
              <w:color w:val="FFFFFF" w:themeColor="background1"/>
            </w:rPr>
          </w:pPr>
        </w:p>
      </w:tc>
    </w:tr>
    <w:tr w:rsidR="00901B13" w:rsidRPr="00BF17F2" w14:paraId="5DFD13D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E5D420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BBB435" w14:textId="77777777" w:rsidR="00901B13" w:rsidRPr="00BF17F2" w:rsidRDefault="00901B13" w:rsidP="00901B13">
          <w:pPr>
            <w:rPr>
              <w:color w:val="FFFFFF" w:themeColor="background1"/>
            </w:rPr>
          </w:pPr>
        </w:p>
      </w:tc>
    </w:tr>
  </w:tbl>
  <w:p w14:paraId="50EE2C77"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A71"/>
    <w:multiLevelType w:val="hybridMultilevel"/>
    <w:tmpl w:val="6ED09340"/>
    <w:lvl w:ilvl="0" w:tplc="AA843958">
      <w:start w:val="1"/>
      <w:numFmt w:val="decimal"/>
      <w:lvlText w:val="%1"/>
      <w:lvlJc w:val="left"/>
      <w:pPr>
        <w:ind w:left="720" w:hanging="360"/>
      </w:pPr>
      <w:rPr>
        <w:rFonts w:hint="default"/>
        <w:b/>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4395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0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799D"/>
    <w:rsid w:val="001C2DC7"/>
    <w:rsid w:val="001C2F20"/>
    <w:rsid w:val="001C3792"/>
    <w:rsid w:val="001C499E"/>
    <w:rsid w:val="001C6C8F"/>
    <w:rsid w:val="001D0CB4"/>
    <w:rsid w:val="001D1169"/>
    <w:rsid w:val="001D2674"/>
    <w:rsid w:val="001D39FD"/>
    <w:rsid w:val="001D7E89"/>
    <w:rsid w:val="001E485B"/>
    <w:rsid w:val="001E7D4A"/>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07F84"/>
    <w:rsid w:val="00313596"/>
    <w:rsid w:val="00313FD8"/>
    <w:rsid w:val="00314970"/>
    <w:rsid w:val="00315EA9"/>
    <w:rsid w:val="00320087"/>
    <w:rsid w:val="00321063"/>
    <w:rsid w:val="003259C6"/>
    <w:rsid w:val="0032667B"/>
    <w:rsid w:val="0032679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2088"/>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13D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216C"/>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2BC4"/>
    <w:rsid w:val="00A83EBE"/>
    <w:rsid w:val="00A8594A"/>
    <w:rsid w:val="00A86417"/>
    <w:rsid w:val="00A8687B"/>
    <w:rsid w:val="00A92B79"/>
    <w:rsid w:val="00A9695B"/>
    <w:rsid w:val="00AA3E8B"/>
    <w:rsid w:val="00AA5A5A"/>
    <w:rsid w:val="00AB05CF"/>
    <w:rsid w:val="00AB0DA8"/>
    <w:rsid w:val="00AB18CA"/>
    <w:rsid w:val="00AB5327"/>
    <w:rsid w:val="00AB5B80"/>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7FC9"/>
    <w:rsid w:val="00C172AE"/>
    <w:rsid w:val="00C17BE6"/>
    <w:rsid w:val="00C343F5"/>
    <w:rsid w:val="00C35D4D"/>
    <w:rsid w:val="00C40555"/>
    <w:rsid w:val="00C40D51"/>
    <w:rsid w:val="00C429A6"/>
    <w:rsid w:val="00C42DC1"/>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104"/>
    <w:rsid w:val="00D022EC"/>
    <w:rsid w:val="00D05217"/>
    <w:rsid w:val="00D05CA2"/>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37D6B"/>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24B7"/>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25F9D"/>
    <w:rsid w:val="00F30571"/>
    <w:rsid w:val="00F32ED5"/>
    <w:rsid w:val="00F335CB"/>
    <w:rsid w:val="00F35DB1"/>
    <w:rsid w:val="00F3651F"/>
    <w:rsid w:val="00F36D0F"/>
    <w:rsid w:val="00F4144F"/>
    <w:rsid w:val="00F42294"/>
    <w:rsid w:val="00F42A8F"/>
    <w:rsid w:val="00F42F7B"/>
    <w:rsid w:val="00F459EB"/>
    <w:rsid w:val="00F471A0"/>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7035D"/>
  <w15:chartTrackingRefBased/>
  <w15:docId w15:val="{530ABA6B-9026-49CC-81F7-21B0E42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02104"/>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D02104"/>
    <w:rPr>
      <w:color w:val="0563C1" w:themeColor="hyperlink"/>
      <w:u w:val="single"/>
    </w:rPr>
  </w:style>
  <w:style w:type="character" w:styleId="BesuchterLink">
    <w:name w:val="FollowedHyperlink"/>
    <w:basedOn w:val="Absatz-Standardschriftart"/>
    <w:uiPriority w:val="99"/>
    <w:semiHidden/>
    <w:unhideWhenUsed/>
    <w:rsid w:val="00F471A0"/>
    <w:rPr>
      <w:color w:val="954F72" w:themeColor="followedHyperlink"/>
      <w:u w:val="single"/>
    </w:rPr>
  </w:style>
  <w:style w:type="character" w:styleId="NichtaufgelsteErwhnung">
    <w:name w:val="Unresolved Mention"/>
    <w:basedOn w:val="Absatz-Standardschriftart"/>
    <w:uiPriority w:val="99"/>
    <w:semiHidden/>
    <w:unhideWhenUsed/>
    <w:rsid w:val="005B2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Bundeshaushalt 2024</a:t>
            </a:r>
          </a:p>
          <a:p>
            <a:pPr>
              <a:defRPr/>
            </a:pPr>
            <a:r>
              <a:rPr lang="en-US" sz="1200" b="0"/>
              <a:t>Ausgaben 476.807.656 Euro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de-D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Tabelle1!$B$1</c:f>
              <c:strCache>
                <c:ptCount val="1"/>
                <c:pt idx="0">
                  <c:v>Anteil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ED0-4681-ACD2-D2781ACE218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ED0-4681-ACD2-D2781ACE218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ED0-4681-ACD2-D2781ACE218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ED0-4681-ACD2-D2781ACE218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ED0-4681-ACD2-D2781ACE218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ED0-4681-ACD2-D2781ACE218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5ED0-4681-ACD2-D2781ACE218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5ED0-4681-ACD2-D2781ACE218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de-DE"/>
              </a:p>
            </c:txPr>
            <c:dLblPos val="bestFit"/>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Tabelle1!$A$2:$A$9</c:f>
              <c:strCache>
                <c:ptCount val="8"/>
                <c:pt idx="0">
                  <c:v>Soziale Sicherung, Familie und Jugend, Arbeitsmarktpolitik</c:v>
                </c:pt>
                <c:pt idx="1">
                  <c:v>Allgemeine Dienste</c:v>
                </c:pt>
                <c:pt idx="2">
                  <c:v>Finanzwirtschaft</c:v>
                </c:pt>
                <c:pt idx="3">
                  <c:v>Verkehr und Nachrichtenwesen</c:v>
                </c:pt>
                <c:pt idx="4">
                  <c:v>Bildung, Wissenschaft, Forschung und Kultur</c:v>
                </c:pt>
                <c:pt idx="5">
                  <c:v>Energie, Wasser und Gewerbe</c:v>
                </c:pt>
                <c:pt idx="6">
                  <c:v>Gesundheit, Umwelt, Sport und Erholung</c:v>
                </c:pt>
                <c:pt idx="7">
                  <c:v>Wohnen und Städtebau</c:v>
                </c:pt>
              </c:strCache>
            </c:strRef>
          </c:cat>
          <c:val>
            <c:numRef>
              <c:f>Tabelle1!$B$2:$B$9</c:f>
              <c:numCache>
                <c:formatCode>General</c:formatCode>
                <c:ptCount val="8"/>
                <c:pt idx="0">
                  <c:v>45.79</c:v>
                </c:pt>
                <c:pt idx="1">
                  <c:v>23.9</c:v>
                </c:pt>
                <c:pt idx="2">
                  <c:v>11.2</c:v>
                </c:pt>
                <c:pt idx="3">
                  <c:v>7.46</c:v>
                </c:pt>
                <c:pt idx="4">
                  <c:v>6.43</c:v>
                </c:pt>
                <c:pt idx="5">
                  <c:v>2.86</c:v>
                </c:pt>
                <c:pt idx="6">
                  <c:v>1.1499999999999999</c:v>
                </c:pt>
                <c:pt idx="7">
                  <c:v>0.85</c:v>
                </c:pt>
              </c:numCache>
            </c:numRef>
          </c:val>
          <c:extLst>
            <c:ext xmlns:c16="http://schemas.microsoft.com/office/drawing/2014/chart" uri="{C3380CC4-5D6E-409C-BE32-E72D297353CC}">
              <c16:uniqueId val="{00000010-5ED0-4681-ACD2-D2781ACE218F}"/>
            </c:ext>
          </c:extLst>
        </c:ser>
        <c:dLbls>
          <c:dLblPos val="bestFit"/>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699453551912567"/>
          <c:y val="0.22252346698737585"/>
          <c:w val="0.33989071038251367"/>
          <c:h val="0.7315140650646334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dk1">
          <a:lumMod val="25000"/>
          <a:lumOff val="7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de-DE" b="1">
                <a:latin typeface="+mn-lt"/>
              </a:rPr>
              <a:t>Ausgaben in absoluten Zahlen</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de-DE"/>
        </a:p>
      </c:txPr>
    </c:title>
    <c:autoTitleDeleted val="0"/>
    <c:plotArea>
      <c:layout/>
      <c:barChart>
        <c:barDir val="col"/>
        <c:grouping val="clustered"/>
        <c:varyColors val="0"/>
        <c:ser>
          <c:idx val="0"/>
          <c:order val="0"/>
          <c:tx>
            <c:strRef>
              <c:f>Tabelle1!$B$1</c:f>
              <c:strCache>
                <c:ptCount val="1"/>
                <c:pt idx="0">
                  <c:v>Betrag (in Tausend Euro)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Tabelle1!$A$2:$A$10</c:f>
              <c:strCache>
                <c:ptCount val="9"/>
                <c:pt idx="0">
                  <c:v>Soziale Sicherung, Familie und Jugend, Arbeitsmarkt</c:v>
                </c:pt>
                <c:pt idx="1">
                  <c:v>Algemeine Dienste</c:v>
                </c:pt>
                <c:pt idx="2">
                  <c:v>Finanzwirtschaft</c:v>
                </c:pt>
                <c:pt idx="3">
                  <c:v>Verkehr und Nachrichtenwesen</c:v>
                </c:pt>
                <c:pt idx="4">
                  <c:v>Bildung, Wissenschaft, Forschung und Kultur</c:v>
                </c:pt>
                <c:pt idx="5">
                  <c:v>Energie, Wasser und Gewerbe</c:v>
                </c:pt>
                <c:pt idx="6">
                  <c:v>Gesundheit, Umwelt, Sport und Erholung</c:v>
                </c:pt>
                <c:pt idx="7">
                  <c:v>Wohnen und Sädtebau</c:v>
                </c:pt>
                <c:pt idx="8">
                  <c:v>Ernährung, Landwirtschaft und Forsten</c:v>
                </c:pt>
              </c:strCache>
            </c:strRef>
          </c:cat>
          <c:val>
            <c:numRef>
              <c:f>Tabelle1!$B$2:$B$10</c:f>
              <c:numCache>
                <c:formatCode>#,##0</c:formatCode>
                <c:ptCount val="9"/>
                <c:pt idx="0">
                  <c:v>218303673</c:v>
                </c:pt>
                <c:pt idx="1">
                  <c:v>113937709</c:v>
                </c:pt>
                <c:pt idx="2">
                  <c:v>53390394</c:v>
                </c:pt>
                <c:pt idx="3">
                  <c:v>35555704</c:v>
                </c:pt>
                <c:pt idx="4">
                  <c:v>30679685</c:v>
                </c:pt>
                <c:pt idx="5">
                  <c:v>13651917</c:v>
                </c:pt>
                <c:pt idx="6">
                  <c:v>5485590</c:v>
                </c:pt>
                <c:pt idx="7">
                  <c:v>4040816</c:v>
                </c:pt>
                <c:pt idx="8">
                  <c:v>1756168</c:v>
                </c:pt>
              </c:numCache>
            </c:numRef>
          </c:val>
          <c:extLst>
            <c:ext xmlns:c16="http://schemas.microsoft.com/office/drawing/2014/chart" uri="{C3380CC4-5D6E-409C-BE32-E72D297353CC}">
              <c16:uniqueId val="{00000000-ECFD-4990-8202-8A836D956BB5}"/>
            </c:ext>
          </c:extLst>
        </c:ser>
        <c:ser>
          <c:idx val="1"/>
          <c:order val="1"/>
          <c:tx>
            <c:strRef>
              <c:f>Tabelle1!$C$1</c:f>
              <c:strCache>
                <c:ptCount val="1"/>
                <c:pt idx="0">
                  <c:v>Spalte1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Tabelle1!$A$2:$A$10</c:f>
              <c:strCache>
                <c:ptCount val="9"/>
                <c:pt idx="0">
                  <c:v>Soziale Sicherung, Familie und Jugend, Arbeitsmarkt</c:v>
                </c:pt>
                <c:pt idx="1">
                  <c:v>Algemeine Dienste</c:v>
                </c:pt>
                <c:pt idx="2">
                  <c:v>Finanzwirtschaft</c:v>
                </c:pt>
                <c:pt idx="3">
                  <c:v>Verkehr und Nachrichtenwesen</c:v>
                </c:pt>
                <c:pt idx="4">
                  <c:v>Bildung, Wissenschaft, Forschung und Kultur</c:v>
                </c:pt>
                <c:pt idx="5">
                  <c:v>Energie, Wasser und Gewerbe</c:v>
                </c:pt>
                <c:pt idx="6">
                  <c:v>Gesundheit, Umwelt, Sport und Erholung</c:v>
                </c:pt>
                <c:pt idx="7">
                  <c:v>Wohnen und Sädtebau</c:v>
                </c:pt>
                <c:pt idx="8">
                  <c:v>Ernährung, Landwirtschaft und Forsten</c:v>
                </c:pt>
              </c:strCache>
            </c:strRef>
          </c:cat>
          <c:val>
            <c:numRef>
              <c:f>Tabelle1!$C$2:$C$10</c:f>
              <c:numCache>
                <c:formatCode>General</c:formatCode>
                <c:ptCount val="9"/>
              </c:numCache>
            </c:numRef>
          </c:val>
          <c:extLst>
            <c:ext xmlns:c16="http://schemas.microsoft.com/office/drawing/2014/chart" uri="{C3380CC4-5D6E-409C-BE32-E72D297353CC}">
              <c16:uniqueId val="{00000001-ECFD-4990-8202-8A836D956BB5}"/>
            </c:ext>
          </c:extLst>
        </c:ser>
        <c:ser>
          <c:idx val="2"/>
          <c:order val="2"/>
          <c:tx>
            <c:strRef>
              <c:f>Tabelle1!$D$1</c:f>
              <c:strCache>
                <c:ptCount val="1"/>
                <c:pt idx="0">
                  <c:v>Spalte2</c:v>
                </c:pt>
              </c:strCache>
            </c:strRef>
          </c:tx>
          <c:spPr>
            <a:solidFill>
              <a:schemeClr val="accent3">
                <a:alpha val="7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1064-4132-A89E-021C0A89A4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Tabelle1!$A$2:$A$10</c:f>
              <c:strCache>
                <c:ptCount val="9"/>
                <c:pt idx="0">
                  <c:v>Soziale Sicherung, Familie und Jugend, Arbeitsmarkt</c:v>
                </c:pt>
                <c:pt idx="1">
                  <c:v>Algemeine Dienste</c:v>
                </c:pt>
                <c:pt idx="2">
                  <c:v>Finanzwirtschaft</c:v>
                </c:pt>
                <c:pt idx="3">
                  <c:v>Verkehr und Nachrichtenwesen</c:v>
                </c:pt>
                <c:pt idx="4">
                  <c:v>Bildung, Wissenschaft, Forschung und Kultur</c:v>
                </c:pt>
                <c:pt idx="5">
                  <c:v>Energie, Wasser und Gewerbe</c:v>
                </c:pt>
                <c:pt idx="6">
                  <c:v>Gesundheit, Umwelt, Sport und Erholung</c:v>
                </c:pt>
                <c:pt idx="7">
                  <c:v>Wohnen und Sädtebau</c:v>
                </c:pt>
                <c:pt idx="8">
                  <c:v>Ernährung, Landwirtschaft und Forsten</c:v>
                </c:pt>
              </c:strCache>
            </c:strRef>
          </c:cat>
          <c:val>
            <c:numRef>
              <c:f>Tabelle1!$D$2:$D$10</c:f>
              <c:numCache>
                <c:formatCode>General</c:formatCode>
                <c:ptCount val="9"/>
                <c:pt idx="3">
                  <c:v>5</c:v>
                </c:pt>
              </c:numCache>
            </c:numRef>
          </c:val>
          <c:extLst>
            <c:ext xmlns:c16="http://schemas.microsoft.com/office/drawing/2014/chart" uri="{C3380CC4-5D6E-409C-BE32-E72D297353CC}">
              <c16:uniqueId val="{00000002-ECFD-4990-8202-8A836D956BB5}"/>
            </c:ext>
          </c:extLst>
        </c:ser>
        <c:dLbls>
          <c:showLegendKey val="0"/>
          <c:showVal val="1"/>
          <c:showCatName val="0"/>
          <c:showSerName val="0"/>
          <c:showPercent val="0"/>
          <c:showBubbleSize val="0"/>
        </c:dLbls>
        <c:gapWidth val="80"/>
        <c:overlap val="25"/>
        <c:axId val="741045632"/>
        <c:axId val="1016941536"/>
      </c:barChart>
      <c:catAx>
        <c:axId val="741045632"/>
        <c:scaling>
          <c:orientation val="minMax"/>
        </c:scaling>
        <c:delete val="0"/>
        <c:axPos val="b"/>
        <c:numFmt formatCode="General" sourceLinked="1"/>
        <c:majorTickMark val="out"/>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de-DE"/>
          </a:p>
        </c:txPr>
        <c:crossAx val="1016941536"/>
        <c:crosses val="autoZero"/>
        <c:auto val="1"/>
        <c:lblAlgn val="ctr"/>
        <c:lblOffset val="100"/>
        <c:noMultiLvlLbl val="0"/>
      </c:catAx>
      <c:valAx>
        <c:axId val="1016941536"/>
        <c:scaling>
          <c:orientation val="minMax"/>
        </c:scaling>
        <c:delete val="1"/>
        <c:axPos val="l"/>
        <c:majorGridlines>
          <c:spPr>
            <a:ln w="9525" cap="flat" cmpd="sng" algn="ctr">
              <a:solidFill>
                <a:schemeClr val="tx1">
                  <a:lumMod val="5000"/>
                  <a:lumOff val="95000"/>
                </a:schemeClr>
              </a:solidFill>
              <a:round/>
            </a:ln>
            <a:effectLst/>
          </c:spPr>
        </c:majorGridlines>
        <c:numFmt formatCode="#,##0" sourceLinked="1"/>
        <c:majorTickMark val="out"/>
        <c:minorTickMark val="none"/>
        <c:tickLblPos val="nextTo"/>
        <c:crossAx val="74104563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3907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2024-08-26T07:00:00Z</dcterms:created>
  <dcterms:modified xsi:type="dcterms:W3CDTF">2024-08-26T14:41:00Z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