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8E402" w14:textId="77777777" w:rsidR="0051425D" w:rsidRPr="00033037" w:rsidRDefault="0051425D" w:rsidP="0051425D">
      <w:r w:rsidRPr="00120ED4">
        <w:rPr>
          <w:b/>
          <w:sz w:val="27"/>
        </w:rPr>
        <w:t xml:space="preserve">Konfliktanalyse Teil </w:t>
      </w:r>
      <w:r>
        <w:rPr>
          <w:b/>
          <w:sz w:val="27"/>
        </w:rPr>
        <w:t>6</w:t>
      </w:r>
      <w:r w:rsidRPr="00120ED4">
        <w:rPr>
          <w:b/>
          <w:sz w:val="27"/>
        </w:rPr>
        <w:t xml:space="preserve">: </w:t>
      </w:r>
      <w:r>
        <w:rPr>
          <w:b/>
          <w:sz w:val="27"/>
        </w:rPr>
        <w:t>Lösungsansätze, Lehren, Konsequenzen</w:t>
      </w:r>
    </w:p>
    <w:p w14:paraId="347019A9" w14:textId="77777777" w:rsidR="0051425D" w:rsidRDefault="0051425D" w:rsidP="0051425D">
      <w:pPr>
        <w:rPr>
          <w:rFonts w:eastAsia="Calibri" w:cs="Arial"/>
          <w:kern w:val="2"/>
          <w:sz w:val="22"/>
          <w14:ligatures w14:val="standardContextual"/>
        </w:rPr>
      </w:pPr>
    </w:p>
    <w:p w14:paraId="4B9548D4" w14:textId="1DF9B0E9" w:rsidR="0051425D" w:rsidRDefault="0051425D" w:rsidP="0051425D">
      <w:pPr>
        <w:rPr>
          <w:rFonts w:eastAsia="Calibri" w:cs="Arial"/>
          <w:kern w:val="2"/>
          <w:sz w:val="22"/>
          <w14:ligatures w14:val="standardContextual"/>
        </w:rPr>
      </w:pPr>
      <w:r>
        <w:rPr>
          <w:rFonts w:eastAsia="Calibri" w:cs="Arial"/>
          <w:kern w:val="2"/>
          <w:sz w:val="22"/>
          <w14:ligatures w14:val="standardContextual"/>
        </w:rPr>
        <w:t xml:space="preserve">Trotz aller Unstimmigkeiten und Probleme gibt es immer noch viele Akteure, die an einer dauerhaften Lösung des Nahostkonflikts arbeiten. Auch wenn diese Lösung nach den Terrorangriffen der Hamas und der Reaktion Israels </w:t>
      </w:r>
      <w:r w:rsidR="00B204C8">
        <w:rPr>
          <w:rFonts w:eastAsia="Calibri" w:cs="Arial"/>
          <w:kern w:val="2"/>
          <w:sz w:val="22"/>
          <w14:ligatures w14:val="standardContextual"/>
        </w:rPr>
        <w:t xml:space="preserve">seit Oktober 2023 </w:t>
      </w:r>
      <w:r>
        <w:rPr>
          <w:rFonts w:eastAsia="Calibri" w:cs="Arial"/>
          <w:kern w:val="2"/>
          <w:sz w:val="22"/>
          <w14:ligatures w14:val="standardContextual"/>
        </w:rPr>
        <w:t xml:space="preserve">in weite Ferne </w:t>
      </w:r>
      <w:r w:rsidR="00B204C8">
        <w:rPr>
          <w:rFonts w:eastAsia="Calibri" w:cs="Arial"/>
          <w:kern w:val="2"/>
          <w:sz w:val="22"/>
          <w14:ligatures w14:val="standardContextual"/>
        </w:rPr>
        <w:t xml:space="preserve">gerückt zu sein scheint, </w:t>
      </w:r>
      <w:r>
        <w:rPr>
          <w:rFonts w:eastAsia="Calibri" w:cs="Arial"/>
          <w:kern w:val="2"/>
          <w:sz w:val="22"/>
          <w14:ligatures w14:val="standardContextual"/>
        </w:rPr>
        <w:t xml:space="preserve">sind sich Diplomaten weltweit doch einig, dass es sich lohnt, weiterhin an einer friedlichen und dauerhaften Lösung zu arbeiten. Häufig wird in diesem Zusammenhang die sogenannte </w:t>
      </w:r>
      <w:r w:rsidRPr="008026B6">
        <w:rPr>
          <w:rFonts w:eastAsia="Calibri" w:cs="Arial"/>
          <w:i/>
          <w:iCs/>
          <w:kern w:val="2"/>
          <w:sz w:val="22"/>
          <w14:ligatures w14:val="standardContextual"/>
        </w:rPr>
        <w:t>Zweistaatenlösung</w:t>
      </w:r>
      <w:r>
        <w:rPr>
          <w:rFonts w:eastAsia="Calibri" w:cs="Arial"/>
          <w:kern w:val="2"/>
          <w:sz w:val="22"/>
          <w14:ligatures w14:val="standardContextual"/>
        </w:rPr>
        <w:t xml:space="preserve"> genannt, allerdings gibt es hierzu unterschiedliche Vorstellungen. Daher soll es in diesem Beitrag auch eher um Bedingungen gehen, die eine solche Zweistaatenlösung erfüllen müsste. </w:t>
      </w:r>
    </w:p>
    <w:p w14:paraId="3917BE17" w14:textId="77777777" w:rsidR="0051425D" w:rsidRDefault="0051425D" w:rsidP="0051425D">
      <w:pPr>
        <w:rPr>
          <w:rFonts w:eastAsia="Calibri" w:cs="Arial"/>
          <w:kern w:val="2"/>
          <w:sz w:val="22"/>
          <w14:ligatures w14:val="standardContextual"/>
        </w:rPr>
      </w:pPr>
    </w:p>
    <w:p w14:paraId="5EE4405C" w14:textId="77777777" w:rsidR="0051425D" w:rsidRDefault="0051425D" w:rsidP="0051425D">
      <w:pPr>
        <w:rPr>
          <w:rFonts w:eastAsia="Calibri" w:cs="Arial"/>
          <w:b/>
          <w:bCs/>
          <w:kern w:val="2"/>
          <w:sz w:val="22"/>
          <w14:ligatures w14:val="standardContextual"/>
        </w:rPr>
      </w:pPr>
      <w:r w:rsidRPr="008026B6">
        <w:rPr>
          <w:rFonts w:eastAsia="Calibri" w:cs="Arial"/>
          <w:b/>
          <w:bCs/>
          <w:kern w:val="2"/>
          <w:sz w:val="22"/>
          <w:shd w:val="clear" w:color="auto" w:fill="D9D9D9" w:themeFill="background1" w:themeFillShade="D9"/>
          <w14:ligatures w14:val="standardContextual"/>
        </w:rPr>
        <w:t>M1</w:t>
      </w:r>
      <w:r w:rsidRPr="00A90055">
        <w:rPr>
          <w:rFonts w:eastAsia="Calibri" w:cs="Arial"/>
          <w:b/>
          <w:bCs/>
          <w:kern w:val="2"/>
          <w:sz w:val="22"/>
          <w14:ligatures w14:val="standardContextual"/>
        </w:rPr>
        <w:t xml:space="preserve"> </w:t>
      </w:r>
      <w:r>
        <w:rPr>
          <w:rFonts w:eastAsia="Calibri" w:cs="Arial"/>
          <w:b/>
          <w:bCs/>
          <w:kern w:val="2"/>
          <w:sz w:val="22"/>
          <w14:ligatures w14:val="standardContextual"/>
        </w:rPr>
        <w:t>Bedingungen einer Zweistaatenlösung</w:t>
      </w:r>
    </w:p>
    <w:p w14:paraId="7585F89D" w14:textId="77777777" w:rsidR="0051425D" w:rsidRDefault="0051425D" w:rsidP="0051425D">
      <w:pPr>
        <w:pStyle w:val="ekvaufzhlung"/>
        <w:ind w:left="0" w:firstLine="0"/>
        <w:rPr>
          <w:b/>
          <w:bCs/>
        </w:rPr>
      </w:pPr>
    </w:p>
    <w:tbl>
      <w:tblPr>
        <w:tblStyle w:val="Tabellenraster"/>
        <w:tblW w:w="0" w:type="auto"/>
        <w:tblInd w:w="-5" w:type="dxa"/>
        <w:tblLook w:val="04A0" w:firstRow="1" w:lastRow="0" w:firstColumn="1" w:lastColumn="0" w:noHBand="0" w:noVBand="1"/>
      </w:tblPr>
      <w:tblGrid>
        <w:gridCol w:w="9349"/>
      </w:tblGrid>
      <w:tr w:rsidR="0051425D" w:rsidRPr="000F4535" w14:paraId="0012507A" w14:textId="77777777" w:rsidTr="006720DA">
        <w:tc>
          <w:tcPr>
            <w:tcW w:w="9349" w:type="dxa"/>
          </w:tcPr>
          <w:p w14:paraId="5B882D91" w14:textId="5163B27D" w:rsidR="0051425D" w:rsidRPr="0021483D" w:rsidRDefault="0051425D" w:rsidP="001E508F">
            <w:pPr>
              <w:pStyle w:val="ekvgrundtexthalbe"/>
            </w:pPr>
            <w:bookmarkStart w:id="0" w:name="_Hlk164069310"/>
            <w:r>
              <w:t xml:space="preserve"> </w:t>
            </w:r>
          </w:p>
          <w:p w14:paraId="1248FB74" w14:textId="77777777" w:rsidR="0051425D" w:rsidRDefault="0051425D" w:rsidP="006720DA">
            <w:pPr>
              <w:rPr>
                <w:rFonts w:eastAsia="Calibri" w:cs="Arial"/>
                <w:kern w:val="2"/>
                <w:sz w:val="22"/>
                <w14:ligatures w14:val="standardContextual"/>
              </w:rPr>
            </w:pPr>
            <w:r w:rsidRPr="002542A5">
              <w:rPr>
                <w:rFonts w:eastAsia="Calibri" w:cs="Arial"/>
                <w:kern w:val="2"/>
                <w:sz w:val="22"/>
                <w14:ligatures w14:val="standardContextual"/>
              </w:rPr>
              <w:t>Die Zweistaatenlösung im Nahostkonflikt ist eine lang diskutierte und kontrovers betrachtete Möglichkeit zur Beilegung des Konflikts zwischen Israelis und Palästinensern. Diese Lösung sieht die Schaffung zweier unabhängiger Staaten, Israel und Palästina, nebeneinander auf dem historischen Gebiet des ehemaligen britischen Mandats Palästina vor.</w:t>
            </w:r>
          </w:p>
          <w:p w14:paraId="75726B03" w14:textId="77777777" w:rsidR="008026B6" w:rsidRPr="002542A5" w:rsidRDefault="008026B6" w:rsidP="006720DA">
            <w:pPr>
              <w:rPr>
                <w:rFonts w:eastAsia="Calibri" w:cs="Arial"/>
                <w:kern w:val="2"/>
                <w:sz w:val="22"/>
                <w14:ligatures w14:val="standardContextual"/>
              </w:rPr>
            </w:pPr>
          </w:p>
          <w:p w14:paraId="71166D2D" w14:textId="77777777" w:rsidR="0051425D" w:rsidRPr="002542A5" w:rsidRDefault="0051425D" w:rsidP="006720DA">
            <w:pPr>
              <w:rPr>
                <w:rFonts w:eastAsia="Calibri" w:cs="Arial"/>
                <w:kern w:val="2"/>
                <w:sz w:val="22"/>
                <w14:ligatures w14:val="standardContextual"/>
              </w:rPr>
            </w:pPr>
            <w:r w:rsidRPr="002542A5">
              <w:rPr>
                <w:rFonts w:eastAsia="Calibri" w:cs="Arial"/>
                <w:kern w:val="2"/>
                <w:sz w:val="22"/>
                <w14:ligatures w14:val="standardContextual"/>
              </w:rPr>
              <w:t>Die Hauptelemente einer Zweistaatenlösung umfassen in der Regel die folgenden Punkte:</w:t>
            </w:r>
          </w:p>
          <w:p w14:paraId="046744E6" w14:textId="77777777" w:rsidR="0051425D" w:rsidRPr="002542A5" w:rsidRDefault="0051425D" w:rsidP="006720DA">
            <w:pPr>
              <w:rPr>
                <w:rFonts w:eastAsia="Calibri" w:cs="Arial"/>
                <w:kern w:val="2"/>
                <w:sz w:val="22"/>
                <w14:ligatures w14:val="standardContextual"/>
              </w:rPr>
            </w:pPr>
          </w:p>
          <w:p w14:paraId="08CACE40" w14:textId="77777777" w:rsidR="0051425D" w:rsidRPr="002542A5" w:rsidRDefault="0051425D" w:rsidP="006720DA">
            <w:pPr>
              <w:rPr>
                <w:rFonts w:eastAsia="Calibri" w:cs="Arial"/>
                <w:kern w:val="2"/>
                <w:sz w:val="22"/>
                <w14:ligatures w14:val="standardContextual"/>
              </w:rPr>
            </w:pPr>
            <w:r w:rsidRPr="002542A5">
              <w:rPr>
                <w:rFonts w:eastAsia="Calibri" w:cs="Arial"/>
                <w:b/>
                <w:bCs/>
                <w:kern w:val="2"/>
                <w:sz w:val="22"/>
                <w14:ligatures w14:val="standardContextual"/>
              </w:rPr>
              <w:t>Grenzen</w:t>
            </w:r>
            <w:r w:rsidRPr="002542A5">
              <w:rPr>
                <w:rFonts w:eastAsia="Calibri" w:cs="Arial"/>
                <w:kern w:val="2"/>
                <w:sz w:val="22"/>
                <w14:ligatures w14:val="standardContextual"/>
              </w:rPr>
              <w:t>: Die Grenzen zwischen Israel und Palästina müssten klar festgelegt werden, wobei sowohl Sicherheitsinteressen als auch historische und demographische Realitäten berücksichtigt werden müssen.</w:t>
            </w:r>
          </w:p>
          <w:p w14:paraId="6757248C" w14:textId="77777777" w:rsidR="0051425D" w:rsidRPr="002542A5" w:rsidRDefault="0051425D" w:rsidP="006720DA">
            <w:pPr>
              <w:rPr>
                <w:rFonts w:eastAsia="Calibri" w:cs="Arial"/>
                <w:kern w:val="2"/>
                <w:sz w:val="22"/>
                <w14:ligatures w14:val="standardContextual"/>
              </w:rPr>
            </w:pPr>
          </w:p>
          <w:p w14:paraId="1521EAA6" w14:textId="77777777" w:rsidR="0051425D" w:rsidRPr="002542A5" w:rsidRDefault="0051425D" w:rsidP="006720DA">
            <w:pPr>
              <w:rPr>
                <w:rFonts w:eastAsia="Calibri" w:cs="Arial"/>
                <w:kern w:val="2"/>
                <w:sz w:val="22"/>
                <w14:ligatures w14:val="standardContextual"/>
              </w:rPr>
            </w:pPr>
            <w:r w:rsidRPr="002542A5">
              <w:rPr>
                <w:rFonts w:eastAsia="Calibri" w:cs="Arial"/>
                <w:b/>
                <w:bCs/>
                <w:kern w:val="2"/>
                <w:sz w:val="22"/>
                <w14:ligatures w14:val="standardContextual"/>
              </w:rPr>
              <w:t>Hauptstädte</w:t>
            </w:r>
            <w:r w:rsidRPr="002542A5">
              <w:rPr>
                <w:rFonts w:eastAsia="Calibri" w:cs="Arial"/>
                <w:kern w:val="2"/>
                <w:sz w:val="22"/>
                <w14:ligatures w14:val="standardContextual"/>
              </w:rPr>
              <w:t>: Jerusalem, eine heilige Stadt für Juden, Christen und Muslime, soll eine besondere Regelung erfahren. Beide Staaten könnten ihre Hauptstädte in Jerusalem haben, wobei Ostjerusalem die Hauptstadt Palästinas und Westjerusalem die Hauptstadt Israels wäre.</w:t>
            </w:r>
          </w:p>
          <w:p w14:paraId="5133A956" w14:textId="77777777" w:rsidR="0051425D" w:rsidRPr="002542A5" w:rsidRDefault="0051425D" w:rsidP="006720DA">
            <w:pPr>
              <w:rPr>
                <w:rFonts w:eastAsia="Calibri" w:cs="Arial"/>
                <w:kern w:val="2"/>
                <w:sz w:val="22"/>
                <w14:ligatures w14:val="standardContextual"/>
              </w:rPr>
            </w:pPr>
          </w:p>
          <w:p w14:paraId="45F42993" w14:textId="77777777" w:rsidR="0051425D" w:rsidRPr="002542A5" w:rsidRDefault="0051425D" w:rsidP="006720DA">
            <w:pPr>
              <w:rPr>
                <w:rFonts w:eastAsia="Calibri" w:cs="Arial"/>
                <w:kern w:val="2"/>
                <w:sz w:val="22"/>
                <w14:ligatures w14:val="standardContextual"/>
              </w:rPr>
            </w:pPr>
            <w:r w:rsidRPr="002542A5">
              <w:rPr>
                <w:rFonts w:eastAsia="Calibri" w:cs="Arial"/>
                <w:b/>
                <w:bCs/>
                <w:kern w:val="2"/>
                <w:sz w:val="22"/>
                <w14:ligatures w14:val="standardContextual"/>
              </w:rPr>
              <w:t>Sicherheit</w:t>
            </w:r>
            <w:r w:rsidRPr="002542A5">
              <w:rPr>
                <w:rFonts w:eastAsia="Calibri" w:cs="Arial"/>
                <w:kern w:val="2"/>
                <w:sz w:val="22"/>
                <w14:ligatures w14:val="standardContextual"/>
              </w:rPr>
              <w:t>: Israel hat das Recht auf Sicherheit und Selbstverteidigung. Eine Zweistaatenlösung müsste Mechanismen zur Gewährleistung der Sicherheit für beide Seiten beinhalten, möglicherweise durch internationale Garantien und eine gemeinsame Sicherheitspartnerschaft.</w:t>
            </w:r>
          </w:p>
          <w:p w14:paraId="42EBC45E" w14:textId="77777777" w:rsidR="0051425D" w:rsidRPr="002542A5" w:rsidRDefault="0051425D" w:rsidP="006720DA">
            <w:pPr>
              <w:rPr>
                <w:rFonts w:eastAsia="Calibri" w:cs="Arial"/>
                <w:kern w:val="2"/>
                <w:sz w:val="22"/>
                <w14:ligatures w14:val="standardContextual"/>
              </w:rPr>
            </w:pPr>
          </w:p>
          <w:p w14:paraId="69D92D6D" w14:textId="5F819B90" w:rsidR="0051425D" w:rsidRPr="002542A5" w:rsidRDefault="0051425D" w:rsidP="006720DA">
            <w:pPr>
              <w:rPr>
                <w:rFonts w:eastAsia="Calibri" w:cs="Arial"/>
                <w:kern w:val="2"/>
                <w:sz w:val="22"/>
                <w14:ligatures w14:val="standardContextual"/>
              </w:rPr>
            </w:pPr>
            <w:r w:rsidRPr="002542A5">
              <w:rPr>
                <w:rFonts w:eastAsia="Calibri" w:cs="Arial"/>
                <w:b/>
                <w:bCs/>
                <w:kern w:val="2"/>
                <w:sz w:val="22"/>
                <w14:ligatures w14:val="standardContextual"/>
              </w:rPr>
              <w:t xml:space="preserve">Rückkehr der </w:t>
            </w:r>
            <w:r w:rsidR="008026B6">
              <w:rPr>
                <w:rFonts w:eastAsia="Calibri" w:cs="Arial"/>
                <w:b/>
                <w:bCs/>
                <w:kern w:val="2"/>
                <w:sz w:val="22"/>
                <w14:ligatures w14:val="standardContextual"/>
              </w:rPr>
              <w:t>Gef</w:t>
            </w:r>
            <w:r w:rsidRPr="002542A5">
              <w:rPr>
                <w:rFonts w:eastAsia="Calibri" w:cs="Arial"/>
                <w:b/>
                <w:bCs/>
                <w:kern w:val="2"/>
                <w:sz w:val="22"/>
                <w14:ligatures w14:val="standardContextual"/>
              </w:rPr>
              <w:t>lücht</w:t>
            </w:r>
            <w:r w:rsidR="008026B6">
              <w:rPr>
                <w:rFonts w:eastAsia="Calibri" w:cs="Arial"/>
                <w:b/>
                <w:bCs/>
                <w:kern w:val="2"/>
                <w:sz w:val="22"/>
                <w14:ligatures w14:val="standardContextual"/>
              </w:rPr>
              <w:t>eten</w:t>
            </w:r>
            <w:r w:rsidRPr="002542A5">
              <w:rPr>
                <w:rFonts w:eastAsia="Calibri" w:cs="Arial"/>
                <w:kern w:val="2"/>
                <w:sz w:val="22"/>
                <w14:ligatures w14:val="standardContextual"/>
              </w:rPr>
              <w:t xml:space="preserve">: Eine Vereinbarung müsste einen gerechten und praktikablen Weg für die palästinensischen </w:t>
            </w:r>
            <w:r w:rsidR="008026B6">
              <w:rPr>
                <w:rFonts w:eastAsia="Calibri" w:cs="Arial"/>
                <w:kern w:val="2"/>
                <w:sz w:val="22"/>
                <w14:ligatures w14:val="standardContextual"/>
              </w:rPr>
              <w:t>Geflüchteten</w:t>
            </w:r>
            <w:r w:rsidRPr="002542A5">
              <w:rPr>
                <w:rFonts w:eastAsia="Calibri" w:cs="Arial"/>
                <w:kern w:val="2"/>
                <w:sz w:val="22"/>
                <w14:ligatures w14:val="standardContextual"/>
              </w:rPr>
              <w:t xml:space="preserve"> und ihre Nachkommen finden, ihre Ansprüche auf Rückkehr oder Entschädigung zu befriedigen, ohne die demographische Stabilität Israels zu gefährden.</w:t>
            </w:r>
          </w:p>
          <w:p w14:paraId="4BB0A249" w14:textId="77777777" w:rsidR="0051425D" w:rsidRPr="002542A5" w:rsidRDefault="0051425D" w:rsidP="006720DA">
            <w:pPr>
              <w:rPr>
                <w:rFonts w:eastAsia="Calibri" w:cs="Arial"/>
                <w:kern w:val="2"/>
                <w:sz w:val="22"/>
                <w14:ligatures w14:val="standardContextual"/>
              </w:rPr>
            </w:pPr>
          </w:p>
          <w:p w14:paraId="524EB5BE" w14:textId="77777777" w:rsidR="0051425D" w:rsidRPr="002542A5" w:rsidRDefault="0051425D" w:rsidP="006720DA">
            <w:pPr>
              <w:rPr>
                <w:rFonts w:eastAsia="Calibri" w:cs="Arial"/>
                <w:kern w:val="2"/>
                <w:sz w:val="22"/>
                <w14:ligatures w14:val="standardContextual"/>
              </w:rPr>
            </w:pPr>
            <w:r w:rsidRPr="002542A5">
              <w:rPr>
                <w:rFonts w:eastAsia="Calibri" w:cs="Arial"/>
                <w:b/>
                <w:bCs/>
                <w:kern w:val="2"/>
                <w:sz w:val="22"/>
                <w14:ligatures w14:val="standardContextual"/>
              </w:rPr>
              <w:t>Wasser- und Ressourcenverteilung</w:t>
            </w:r>
            <w:r w:rsidRPr="002542A5">
              <w:rPr>
                <w:rFonts w:eastAsia="Calibri" w:cs="Arial"/>
                <w:kern w:val="2"/>
                <w:sz w:val="22"/>
                <w14:ligatures w14:val="standardContextual"/>
              </w:rPr>
              <w:t>: Die gemeinsame Nutzung von Wasserressourcen und anderen natürlichen Ressourcen in der Region müsste geregelt werden, um die Bedürfnisse beider Staaten zu erfüllen und die langfristige Nachhaltigkeit sicherzustellen.</w:t>
            </w:r>
          </w:p>
          <w:p w14:paraId="309F1117" w14:textId="77777777" w:rsidR="0051425D" w:rsidRPr="002542A5" w:rsidRDefault="0051425D" w:rsidP="006720DA">
            <w:pPr>
              <w:rPr>
                <w:rFonts w:eastAsia="Calibri" w:cs="Arial"/>
                <w:kern w:val="2"/>
                <w:sz w:val="22"/>
                <w14:ligatures w14:val="standardContextual"/>
              </w:rPr>
            </w:pPr>
          </w:p>
          <w:p w14:paraId="615F7BBE" w14:textId="77777777" w:rsidR="0051425D" w:rsidRPr="002542A5" w:rsidRDefault="0051425D" w:rsidP="006720DA">
            <w:pPr>
              <w:rPr>
                <w:rFonts w:eastAsia="Calibri" w:cs="Arial"/>
                <w:kern w:val="2"/>
                <w:sz w:val="22"/>
                <w14:ligatures w14:val="standardContextual"/>
              </w:rPr>
            </w:pPr>
            <w:r w:rsidRPr="002542A5">
              <w:rPr>
                <w:rFonts w:eastAsia="Calibri" w:cs="Arial"/>
                <w:b/>
                <w:bCs/>
                <w:kern w:val="2"/>
                <w:sz w:val="22"/>
                <w14:ligatures w14:val="standardContextual"/>
              </w:rPr>
              <w:t>Siedlungen</w:t>
            </w:r>
            <w:r w:rsidRPr="002542A5">
              <w:rPr>
                <w:rFonts w:eastAsia="Calibri" w:cs="Arial"/>
                <w:kern w:val="2"/>
                <w:sz w:val="22"/>
                <w14:ligatures w14:val="standardContextual"/>
              </w:rPr>
              <w:t>: Eine Vereinbarung müsste den Status der israelischen Siedlungen in den besetzten palästinensischen Gebieten klären, wobei einige Siedlungen möglicherweise geräumt werden müssten, während andere in einem Gebietsaustausch Teil Israels werden könnten.</w:t>
            </w:r>
          </w:p>
          <w:p w14:paraId="271B0071" w14:textId="77777777" w:rsidR="0051425D" w:rsidRPr="002542A5" w:rsidRDefault="0051425D" w:rsidP="006720DA">
            <w:pPr>
              <w:rPr>
                <w:rFonts w:eastAsia="Calibri" w:cs="Arial"/>
                <w:kern w:val="2"/>
                <w:sz w:val="22"/>
                <w14:ligatures w14:val="standardContextual"/>
              </w:rPr>
            </w:pPr>
          </w:p>
          <w:p w14:paraId="54CE5770" w14:textId="77777777" w:rsidR="0051425D" w:rsidRDefault="0051425D" w:rsidP="006720DA">
            <w:pPr>
              <w:rPr>
                <w:rFonts w:eastAsia="Calibri" w:cs="Arial"/>
                <w:kern w:val="2"/>
                <w:sz w:val="22"/>
                <w14:ligatures w14:val="standardContextual"/>
              </w:rPr>
            </w:pPr>
            <w:r w:rsidRPr="002542A5">
              <w:rPr>
                <w:rFonts w:eastAsia="Calibri" w:cs="Arial"/>
                <w:b/>
                <w:bCs/>
                <w:kern w:val="2"/>
                <w:sz w:val="22"/>
                <w14:ligatures w14:val="standardContextual"/>
              </w:rPr>
              <w:t>Wirtschaftliche Zusammenarbeit</w:t>
            </w:r>
            <w:r w:rsidRPr="002542A5">
              <w:rPr>
                <w:rFonts w:eastAsia="Calibri" w:cs="Arial"/>
                <w:kern w:val="2"/>
                <w:sz w:val="22"/>
                <w14:ligatures w14:val="standardContextual"/>
              </w:rPr>
              <w:t>: Die Schaffung einer wirtschaftlichen Partnerschaft zwischen Israel und Palästina könnte dazu beitragen, Vertrauen aufzubauen und gegenseitige Abhängigkeit zu fördern, was langfristig zu mehr Stabilität und Wohlstand in der Region führen könnte.</w:t>
            </w:r>
          </w:p>
          <w:p w14:paraId="51ECAF6A" w14:textId="77777777" w:rsidR="001E508F" w:rsidRPr="00027137" w:rsidRDefault="001E508F" w:rsidP="001E508F">
            <w:pPr>
              <w:pStyle w:val="ekvgrundtexthalbe"/>
              <w:rPr>
                <w:rStyle w:val="ekvnummerierung"/>
                <w:rFonts w:eastAsia="Calibri" w:cs="Arial"/>
                <w:b w:val="0"/>
                <w:kern w:val="2"/>
                <w:sz w:val="22"/>
                <w14:ligatures w14:val="standardContextual"/>
              </w:rPr>
            </w:pPr>
          </w:p>
        </w:tc>
      </w:tr>
    </w:tbl>
    <w:bookmarkEnd w:id="0"/>
    <w:p w14:paraId="685A1104" w14:textId="77777777" w:rsidR="0051425D" w:rsidRDefault="0051425D" w:rsidP="0051425D">
      <w:pPr>
        <w:pStyle w:val="ekvaufzhlung"/>
      </w:pPr>
      <w:r w:rsidRPr="008026B6">
        <w:rPr>
          <w:rFonts w:eastAsia="Calibri" w:cs="Arial"/>
          <w:b/>
          <w:bCs/>
          <w:kern w:val="2"/>
          <w:sz w:val="22"/>
          <w:shd w:val="clear" w:color="auto" w:fill="D9D9D9" w:themeFill="background1" w:themeFillShade="D9"/>
          <w14:ligatures w14:val="standardContextual"/>
        </w:rPr>
        <w:lastRenderedPageBreak/>
        <w:t>M2</w:t>
      </w:r>
      <w:r w:rsidRPr="00A90055">
        <w:rPr>
          <w:rFonts w:eastAsia="Calibri" w:cs="Arial"/>
          <w:b/>
          <w:bCs/>
          <w:kern w:val="2"/>
          <w:sz w:val="22"/>
          <w14:ligatures w14:val="standardContextual"/>
        </w:rPr>
        <w:t xml:space="preserve"> </w:t>
      </w:r>
      <w:r>
        <w:rPr>
          <w:rFonts w:eastAsia="Calibri" w:cs="Arial"/>
          <w:b/>
          <w:bCs/>
          <w:kern w:val="2"/>
          <w:sz w:val="22"/>
          <w14:ligatures w14:val="standardContextual"/>
        </w:rPr>
        <w:t>Befürworter und Gegner einer Zweistaatenlösung</w:t>
      </w:r>
      <w:r>
        <w:t xml:space="preserve"> </w:t>
      </w:r>
    </w:p>
    <w:p w14:paraId="624BAC5B" w14:textId="77777777" w:rsidR="0051425D" w:rsidRDefault="0051425D" w:rsidP="0051425D">
      <w:pPr>
        <w:pStyle w:val="ekvaufzhlung"/>
      </w:pPr>
    </w:p>
    <w:tbl>
      <w:tblPr>
        <w:tblStyle w:val="Tabellenraster"/>
        <w:tblW w:w="0" w:type="auto"/>
        <w:tblInd w:w="-5" w:type="dxa"/>
        <w:tblLook w:val="04A0" w:firstRow="1" w:lastRow="0" w:firstColumn="1" w:lastColumn="0" w:noHBand="0" w:noVBand="1"/>
      </w:tblPr>
      <w:tblGrid>
        <w:gridCol w:w="9349"/>
      </w:tblGrid>
      <w:tr w:rsidR="0051425D" w:rsidRPr="000F4535" w14:paraId="6B138069" w14:textId="77777777" w:rsidTr="006720DA">
        <w:tc>
          <w:tcPr>
            <w:tcW w:w="9349" w:type="dxa"/>
          </w:tcPr>
          <w:p w14:paraId="41CA5F28" w14:textId="77777777" w:rsidR="0051425D" w:rsidRPr="006F42E4" w:rsidRDefault="0051425D" w:rsidP="006720DA">
            <w:pPr>
              <w:rPr>
                <w:rFonts w:eastAsia="Calibri" w:cs="Arial"/>
                <w:b/>
                <w:bCs/>
                <w:kern w:val="2"/>
                <w:sz w:val="22"/>
                <w14:ligatures w14:val="standardContextual"/>
              </w:rPr>
            </w:pPr>
            <w:r w:rsidRPr="006F42E4">
              <w:rPr>
                <w:rFonts w:eastAsia="Calibri" w:cs="Arial"/>
                <w:b/>
                <w:bCs/>
                <w:kern w:val="2"/>
                <w:sz w:val="22"/>
                <w14:ligatures w14:val="standardContextual"/>
              </w:rPr>
              <w:t>Befürworter der Zweistaatenlösung:</w:t>
            </w:r>
          </w:p>
          <w:p w14:paraId="0BB165B7" w14:textId="77777777" w:rsidR="0051425D" w:rsidRPr="006F42E4" w:rsidRDefault="0051425D" w:rsidP="00101A7D">
            <w:pPr>
              <w:pStyle w:val="ekvgrundtexthalbe"/>
            </w:pPr>
          </w:p>
          <w:p w14:paraId="2F97CB57" w14:textId="77777777" w:rsidR="0051425D" w:rsidRPr="006F42E4" w:rsidRDefault="0051425D" w:rsidP="006720DA">
            <w:pPr>
              <w:rPr>
                <w:rFonts w:eastAsia="Calibri" w:cs="Arial"/>
                <w:kern w:val="2"/>
                <w:sz w:val="22"/>
                <w14:ligatures w14:val="standardContextual"/>
              </w:rPr>
            </w:pPr>
            <w:r w:rsidRPr="006F42E4">
              <w:rPr>
                <w:rFonts w:eastAsia="Calibri" w:cs="Arial"/>
                <w:b/>
                <w:bCs/>
                <w:kern w:val="2"/>
                <w:sz w:val="22"/>
                <w14:ligatures w14:val="standardContextual"/>
              </w:rPr>
              <w:t>Internationale Gemeinschaft</w:t>
            </w:r>
            <w:r w:rsidRPr="006F42E4">
              <w:rPr>
                <w:rFonts w:eastAsia="Calibri" w:cs="Arial"/>
                <w:kern w:val="2"/>
                <w:sz w:val="22"/>
                <w14:ligatures w14:val="standardContextual"/>
              </w:rPr>
              <w:t>: Viele Länder und internationale Organisationen unterstützen die Idee einer Zweistaatenlösung als den besten Weg zur Beilegung des Nahostkonflikts. Dies umfasst oft westliche Staaten, die Vereinten Nationen und die Europäische Union.</w:t>
            </w:r>
            <w:r>
              <w:rPr>
                <w:rFonts w:eastAsia="Calibri" w:cs="Arial"/>
                <w:kern w:val="2"/>
                <w:sz w:val="22"/>
                <w14:ligatures w14:val="standardContextual"/>
              </w:rPr>
              <w:t xml:space="preserve"> </w:t>
            </w:r>
          </w:p>
          <w:p w14:paraId="6D60825F" w14:textId="77777777" w:rsidR="0051425D" w:rsidRPr="006F42E4" w:rsidRDefault="0051425D" w:rsidP="006720DA">
            <w:pPr>
              <w:rPr>
                <w:rFonts w:eastAsia="Calibri" w:cs="Arial"/>
                <w:kern w:val="2"/>
                <w:sz w:val="22"/>
                <w14:ligatures w14:val="standardContextual"/>
              </w:rPr>
            </w:pPr>
          </w:p>
          <w:p w14:paraId="2A767870" w14:textId="0D7530B5" w:rsidR="0051425D" w:rsidRPr="006F42E4" w:rsidRDefault="0051425D" w:rsidP="006720DA">
            <w:pPr>
              <w:rPr>
                <w:rFonts w:eastAsia="Calibri" w:cs="Arial"/>
                <w:kern w:val="2"/>
                <w:sz w:val="22"/>
                <w14:ligatures w14:val="standardContextual"/>
              </w:rPr>
            </w:pPr>
            <w:r w:rsidRPr="006F42E4">
              <w:rPr>
                <w:rFonts w:eastAsia="Calibri" w:cs="Arial"/>
                <w:b/>
                <w:bCs/>
                <w:kern w:val="2"/>
                <w:sz w:val="22"/>
                <w14:ligatures w14:val="standardContextual"/>
              </w:rPr>
              <w:t>Moderate Politiker</w:t>
            </w:r>
            <w:r w:rsidR="008026B6">
              <w:rPr>
                <w:rFonts w:eastAsia="Calibri" w:cs="Arial"/>
                <w:b/>
                <w:bCs/>
                <w:kern w:val="2"/>
                <w:sz w:val="22"/>
                <w14:ligatures w14:val="standardContextual"/>
              </w:rPr>
              <w:t>innen und Politiker</w:t>
            </w:r>
            <w:r w:rsidRPr="006F42E4">
              <w:rPr>
                <w:rFonts w:eastAsia="Calibri" w:cs="Arial"/>
                <w:b/>
                <w:bCs/>
                <w:kern w:val="2"/>
                <w:sz w:val="22"/>
                <w14:ligatures w14:val="standardContextual"/>
              </w:rPr>
              <w:t xml:space="preserve"> in Israel und Palästina</w:t>
            </w:r>
            <w:r w:rsidRPr="006F42E4">
              <w:rPr>
                <w:rFonts w:eastAsia="Calibri" w:cs="Arial"/>
                <w:kern w:val="2"/>
                <w:sz w:val="22"/>
                <w14:ligatures w14:val="standardContextual"/>
              </w:rPr>
              <w:t>: Einige israelische und palästinensische Politiker</w:t>
            </w:r>
            <w:r w:rsidR="008026B6">
              <w:rPr>
                <w:rFonts w:eastAsia="Calibri" w:cs="Arial"/>
                <w:kern w:val="2"/>
                <w:sz w:val="22"/>
                <w14:ligatures w14:val="standardContextual"/>
              </w:rPr>
              <w:t>innen und Politiker</w:t>
            </w:r>
            <w:r w:rsidRPr="006F42E4">
              <w:rPr>
                <w:rFonts w:eastAsia="Calibri" w:cs="Arial"/>
                <w:kern w:val="2"/>
                <w:sz w:val="22"/>
                <w14:ligatures w14:val="standardContextual"/>
              </w:rPr>
              <w:t>, insbesondere diejenigen, die dem gemäßigten Lager angehören, befürworten die Zweistaatenlösung als einzigen realistischen Weg zu einem dauerhaften Frieden.</w:t>
            </w:r>
          </w:p>
          <w:p w14:paraId="1DF73954" w14:textId="77777777" w:rsidR="0051425D" w:rsidRPr="006F42E4" w:rsidRDefault="0051425D" w:rsidP="006720DA">
            <w:pPr>
              <w:rPr>
                <w:rFonts w:eastAsia="Calibri" w:cs="Arial"/>
                <w:kern w:val="2"/>
                <w:sz w:val="22"/>
                <w14:ligatures w14:val="standardContextual"/>
              </w:rPr>
            </w:pPr>
          </w:p>
          <w:p w14:paraId="305F20C9" w14:textId="3C419F6E" w:rsidR="0051425D" w:rsidRDefault="0051425D" w:rsidP="006720DA">
            <w:pPr>
              <w:rPr>
                <w:rFonts w:eastAsia="Calibri" w:cs="Arial"/>
                <w:kern w:val="2"/>
                <w:sz w:val="22"/>
                <w14:ligatures w14:val="standardContextual"/>
              </w:rPr>
            </w:pPr>
            <w:r w:rsidRPr="009D236F">
              <w:rPr>
                <w:rFonts w:eastAsia="Calibri" w:cs="Arial"/>
                <w:b/>
                <w:bCs/>
                <w:kern w:val="2"/>
                <w:sz w:val="22"/>
                <w14:ligatures w14:val="standardContextual"/>
              </w:rPr>
              <w:t>Friedensaktivist</w:t>
            </w:r>
            <w:r w:rsidR="008026B6">
              <w:rPr>
                <w:rFonts w:eastAsia="Calibri" w:cs="Arial"/>
                <w:b/>
                <w:bCs/>
                <w:kern w:val="2"/>
                <w:sz w:val="22"/>
                <w14:ligatures w14:val="standardContextual"/>
              </w:rPr>
              <w:t>innen und -aktivisten</w:t>
            </w:r>
            <w:r w:rsidRPr="009D236F">
              <w:rPr>
                <w:rFonts w:eastAsia="Calibri" w:cs="Arial"/>
                <w:b/>
                <w:bCs/>
                <w:kern w:val="2"/>
                <w:sz w:val="22"/>
                <w14:ligatures w14:val="standardContextual"/>
              </w:rPr>
              <w:t xml:space="preserve"> </w:t>
            </w:r>
            <w:r w:rsidR="008026B6">
              <w:rPr>
                <w:rFonts w:eastAsia="Calibri" w:cs="Arial"/>
                <w:b/>
                <w:bCs/>
                <w:kern w:val="2"/>
                <w:sz w:val="22"/>
                <w14:ligatures w14:val="standardContextual"/>
              </w:rPr>
              <w:t>sowie</w:t>
            </w:r>
            <w:r w:rsidRPr="009D236F">
              <w:rPr>
                <w:rFonts w:eastAsia="Calibri" w:cs="Arial"/>
                <w:b/>
                <w:bCs/>
                <w:kern w:val="2"/>
                <w:sz w:val="22"/>
                <w14:ligatures w14:val="standardContextual"/>
              </w:rPr>
              <w:t xml:space="preserve"> zivilgesellschaftliche Organisationen</w:t>
            </w:r>
            <w:r w:rsidRPr="006F42E4">
              <w:rPr>
                <w:rFonts w:eastAsia="Calibri" w:cs="Arial"/>
                <w:kern w:val="2"/>
                <w:sz w:val="22"/>
                <w14:ligatures w14:val="standardContextual"/>
              </w:rPr>
              <w:t>: Viele Friedens</w:t>
            </w:r>
            <w:r w:rsidR="008026B6">
              <w:rPr>
                <w:rFonts w:eastAsia="Calibri" w:cs="Arial"/>
                <w:kern w:val="2"/>
                <w:sz w:val="22"/>
                <w14:ligatures w14:val="standardContextual"/>
              </w:rPr>
              <w:t>aktivistinnen und -</w:t>
            </w:r>
            <w:r w:rsidRPr="006F42E4">
              <w:rPr>
                <w:rFonts w:eastAsia="Calibri" w:cs="Arial"/>
                <w:kern w:val="2"/>
                <w:sz w:val="22"/>
                <w14:ligatures w14:val="standardContextual"/>
              </w:rPr>
              <w:t xml:space="preserve">aktivisten </w:t>
            </w:r>
            <w:r w:rsidR="008026B6">
              <w:rPr>
                <w:rFonts w:eastAsia="Calibri" w:cs="Arial"/>
                <w:kern w:val="2"/>
                <w:sz w:val="22"/>
                <w14:ligatures w14:val="standardContextual"/>
              </w:rPr>
              <w:t>sowie</w:t>
            </w:r>
            <w:r w:rsidRPr="006F42E4">
              <w:rPr>
                <w:rFonts w:eastAsia="Calibri" w:cs="Arial"/>
                <w:kern w:val="2"/>
                <w:sz w:val="22"/>
                <w14:ligatures w14:val="standardContextual"/>
              </w:rPr>
              <w:t xml:space="preserve"> NGOs setzen sich aktiv für die Zweistaatenlösung ein, da sie glauben, dass dies die beste Chance bietet, den Konflikt zu beenden und ein gerechtes und dauerhaftes Friedensabkommen zu erreichen.</w:t>
            </w:r>
          </w:p>
          <w:p w14:paraId="4C798D9E" w14:textId="77777777" w:rsidR="0051425D" w:rsidRDefault="0051425D" w:rsidP="006720DA">
            <w:pPr>
              <w:rPr>
                <w:rFonts w:eastAsia="Calibri" w:cs="Arial"/>
                <w:kern w:val="2"/>
                <w:sz w:val="22"/>
                <w14:ligatures w14:val="standardContextual"/>
              </w:rPr>
            </w:pPr>
          </w:p>
          <w:p w14:paraId="6E3AD4FD" w14:textId="77777777" w:rsidR="0051425D" w:rsidRPr="006F42E4" w:rsidRDefault="0051425D" w:rsidP="006720DA">
            <w:pPr>
              <w:rPr>
                <w:rFonts w:eastAsia="Calibri" w:cs="Arial"/>
                <w:kern w:val="2"/>
                <w:sz w:val="22"/>
                <w14:ligatures w14:val="standardContextual"/>
              </w:rPr>
            </w:pPr>
            <w:r w:rsidRPr="00DC3815">
              <w:rPr>
                <w:rFonts w:eastAsia="Calibri" w:cs="Arial"/>
                <w:b/>
                <w:bCs/>
                <w:kern w:val="2"/>
                <w:sz w:val="22"/>
                <w14:ligatures w14:val="standardContextual"/>
              </w:rPr>
              <w:t>Deutschland</w:t>
            </w:r>
            <w:r>
              <w:rPr>
                <w:rFonts w:eastAsia="Calibri" w:cs="Arial"/>
                <w:kern w:val="2"/>
                <w:sz w:val="22"/>
                <w14:ligatures w14:val="standardContextual"/>
              </w:rPr>
              <w:t xml:space="preserve">: </w:t>
            </w:r>
            <w:r w:rsidRPr="00D07E1A">
              <w:rPr>
                <w:rFonts w:eastAsia="Calibri" w:cs="Arial"/>
                <w:kern w:val="2"/>
                <w:sz w:val="22"/>
                <w14:ligatures w14:val="standardContextual"/>
              </w:rPr>
              <w:t>Die offizielle Position der deutschen Regierung zur Zweistaatenlösung im Nahostkonflikt ist klar und wurde mehrfach in verschiedenen politischen Erklärungen und Dokumenten zum Ausdruck gebracht. Deutschland unterstützt nachdrücklich die Schaffung eines unabhängigen, demokratischen und lebensfähigen palästinensischen Staates, der Seite an Seite mit Israel in Frieden und Sicherheit existieren kann.</w:t>
            </w:r>
          </w:p>
          <w:p w14:paraId="6209F202" w14:textId="77777777" w:rsidR="0051425D" w:rsidRPr="006F42E4" w:rsidRDefault="0051425D" w:rsidP="006720DA">
            <w:pPr>
              <w:rPr>
                <w:rFonts w:eastAsia="Calibri" w:cs="Arial"/>
                <w:kern w:val="2"/>
                <w:sz w:val="22"/>
                <w14:ligatures w14:val="standardContextual"/>
              </w:rPr>
            </w:pPr>
          </w:p>
          <w:p w14:paraId="3296198F" w14:textId="77777777" w:rsidR="0051425D" w:rsidRPr="006F42E4" w:rsidRDefault="0051425D" w:rsidP="006720DA">
            <w:pPr>
              <w:rPr>
                <w:rFonts w:eastAsia="Calibri" w:cs="Arial"/>
                <w:b/>
                <w:bCs/>
                <w:kern w:val="2"/>
                <w:sz w:val="22"/>
                <w14:ligatures w14:val="standardContextual"/>
              </w:rPr>
            </w:pPr>
            <w:r w:rsidRPr="006F42E4">
              <w:rPr>
                <w:rFonts w:eastAsia="Calibri" w:cs="Arial"/>
                <w:b/>
                <w:bCs/>
                <w:kern w:val="2"/>
                <w:sz w:val="22"/>
                <w14:ligatures w14:val="standardContextual"/>
              </w:rPr>
              <w:t>Gegner der Zweistaatenlösung:</w:t>
            </w:r>
          </w:p>
          <w:p w14:paraId="435F4CD4" w14:textId="77777777" w:rsidR="0051425D" w:rsidRPr="006F42E4" w:rsidRDefault="0051425D" w:rsidP="00101A7D">
            <w:pPr>
              <w:pStyle w:val="ekvgrundtexthalbe"/>
            </w:pPr>
          </w:p>
          <w:p w14:paraId="3A133E9A" w14:textId="77777777" w:rsidR="0051425D" w:rsidRPr="006F42E4" w:rsidRDefault="0051425D" w:rsidP="006720DA">
            <w:pPr>
              <w:rPr>
                <w:rFonts w:eastAsia="Calibri" w:cs="Arial"/>
                <w:kern w:val="2"/>
                <w:sz w:val="22"/>
                <w14:ligatures w14:val="standardContextual"/>
              </w:rPr>
            </w:pPr>
            <w:r w:rsidRPr="009D236F">
              <w:rPr>
                <w:rFonts w:eastAsia="Calibri" w:cs="Arial"/>
                <w:b/>
                <w:bCs/>
                <w:kern w:val="2"/>
                <w:sz w:val="22"/>
                <w14:ligatures w14:val="standardContextual"/>
              </w:rPr>
              <w:t>Extremistische Gruppen auf beiden Seiten:</w:t>
            </w:r>
            <w:r w:rsidRPr="006F42E4">
              <w:rPr>
                <w:rFonts w:eastAsia="Calibri" w:cs="Arial"/>
                <w:kern w:val="2"/>
                <w:sz w:val="22"/>
                <w14:ligatures w14:val="standardContextual"/>
              </w:rPr>
              <w:t xml:space="preserve"> Extremistische israelische Siedlergruppen und radikale palästinensische Organisationen </w:t>
            </w:r>
            <w:r>
              <w:rPr>
                <w:rFonts w:eastAsia="Calibri" w:cs="Arial"/>
                <w:kern w:val="2"/>
                <w:sz w:val="22"/>
                <w14:ligatures w14:val="standardContextual"/>
              </w:rPr>
              <w:t xml:space="preserve">wie die Hamas </w:t>
            </w:r>
            <w:r w:rsidRPr="006F42E4">
              <w:rPr>
                <w:rFonts w:eastAsia="Calibri" w:cs="Arial"/>
                <w:kern w:val="2"/>
                <w:sz w:val="22"/>
                <w14:ligatures w14:val="standardContextual"/>
              </w:rPr>
              <w:t>lehnen oft die Idee einer Zweistaatenlösung ab und befürworten stattdessen eine Ein-Staat-Lösung, die ihre eigenen politischen Ziele besser unterstützt.</w:t>
            </w:r>
          </w:p>
          <w:p w14:paraId="0F556EC4" w14:textId="77777777" w:rsidR="0051425D" w:rsidRPr="006F42E4" w:rsidRDefault="0051425D" w:rsidP="006720DA">
            <w:pPr>
              <w:rPr>
                <w:rFonts w:eastAsia="Calibri" w:cs="Arial"/>
                <w:kern w:val="2"/>
                <w:sz w:val="22"/>
                <w14:ligatures w14:val="standardContextual"/>
              </w:rPr>
            </w:pPr>
          </w:p>
          <w:p w14:paraId="5B87205B" w14:textId="051CC2F2" w:rsidR="0051425D" w:rsidRPr="006F42E4" w:rsidRDefault="0051425D" w:rsidP="006720DA">
            <w:pPr>
              <w:rPr>
                <w:rFonts w:eastAsia="Calibri" w:cs="Arial"/>
                <w:kern w:val="2"/>
                <w:sz w:val="22"/>
                <w14:ligatures w14:val="standardContextual"/>
              </w:rPr>
            </w:pPr>
            <w:r w:rsidRPr="009D236F">
              <w:rPr>
                <w:rFonts w:eastAsia="Calibri" w:cs="Arial"/>
                <w:b/>
                <w:bCs/>
                <w:kern w:val="2"/>
                <w:sz w:val="22"/>
                <w14:ligatures w14:val="standardContextual"/>
              </w:rPr>
              <w:t>Rechtsextreme Politiker</w:t>
            </w:r>
            <w:r w:rsidR="008026B6">
              <w:rPr>
                <w:rFonts w:eastAsia="Calibri" w:cs="Arial"/>
                <w:b/>
                <w:bCs/>
                <w:kern w:val="2"/>
                <w:sz w:val="22"/>
                <w14:ligatures w14:val="standardContextual"/>
              </w:rPr>
              <w:t>innen und Politiker</w:t>
            </w:r>
            <w:r w:rsidRPr="009D236F">
              <w:rPr>
                <w:rFonts w:eastAsia="Calibri" w:cs="Arial"/>
                <w:b/>
                <w:bCs/>
                <w:kern w:val="2"/>
                <w:sz w:val="22"/>
                <w14:ligatures w14:val="standardContextual"/>
              </w:rPr>
              <w:t xml:space="preserve"> in Israel</w:t>
            </w:r>
            <w:r w:rsidRPr="006F42E4">
              <w:rPr>
                <w:rFonts w:eastAsia="Calibri" w:cs="Arial"/>
                <w:kern w:val="2"/>
                <w:sz w:val="22"/>
                <w14:ligatures w14:val="standardContextual"/>
              </w:rPr>
              <w:t>: Einige politische Kräfte in Israel, insbesondere solche, die die Siedlungspolitik unterstützen und eine Vorherrschaft des jüdischen Staates in ganz Palästina befürworten, sind gegen die Idee einer unabhängigen palästinensischen Staatsbildung.</w:t>
            </w:r>
            <w:r>
              <w:rPr>
                <w:rFonts w:eastAsia="Calibri" w:cs="Arial"/>
                <w:kern w:val="2"/>
                <w:sz w:val="22"/>
                <w14:ligatures w14:val="standardContextual"/>
              </w:rPr>
              <w:t xml:space="preserve"> Diese Gruppen treiben auch den Siedlungsbau in eigentlich palästinensischen Regionen aggressiv voran. </w:t>
            </w:r>
          </w:p>
          <w:p w14:paraId="69F12403" w14:textId="77777777" w:rsidR="0051425D" w:rsidRPr="006F42E4" w:rsidRDefault="0051425D" w:rsidP="006720DA">
            <w:pPr>
              <w:rPr>
                <w:rFonts w:eastAsia="Calibri" w:cs="Arial"/>
                <w:kern w:val="2"/>
                <w:sz w:val="22"/>
                <w14:ligatures w14:val="standardContextual"/>
              </w:rPr>
            </w:pPr>
          </w:p>
          <w:p w14:paraId="62FF88F0" w14:textId="77777777" w:rsidR="0051425D" w:rsidRDefault="0051425D" w:rsidP="006720DA">
            <w:pPr>
              <w:rPr>
                <w:rFonts w:eastAsia="Calibri" w:cs="Arial"/>
                <w:kern w:val="2"/>
                <w:sz w:val="22"/>
                <w14:ligatures w14:val="standardContextual"/>
              </w:rPr>
            </w:pPr>
            <w:r w:rsidRPr="009D236F">
              <w:rPr>
                <w:rFonts w:eastAsia="Calibri" w:cs="Arial"/>
                <w:b/>
                <w:bCs/>
                <w:kern w:val="2"/>
                <w:sz w:val="22"/>
                <w14:ligatures w14:val="standardContextual"/>
              </w:rPr>
              <w:t>Hamas und andere radikale Gruppen</w:t>
            </w:r>
            <w:r w:rsidRPr="006F42E4">
              <w:rPr>
                <w:rFonts w:eastAsia="Calibri" w:cs="Arial"/>
                <w:kern w:val="2"/>
                <w:sz w:val="22"/>
                <w14:ligatures w14:val="standardContextual"/>
              </w:rPr>
              <w:t>: Die Hamas, eine islamistische Gruppierung, die den Gazastreifen kontrolliert, sowie andere extremistische palästinensische Gruppen lehnen oft die Idee einer Zweistaatenlösung ab und setzen sich stattdessen für einen bewaffneten Kampf zur Befreiung ganz Palästinas ein.</w:t>
            </w:r>
          </w:p>
          <w:p w14:paraId="00355714" w14:textId="77777777" w:rsidR="0051425D" w:rsidRDefault="0051425D" w:rsidP="006720DA">
            <w:pPr>
              <w:rPr>
                <w:rFonts w:eastAsia="Calibri" w:cs="Arial"/>
                <w:kern w:val="2"/>
                <w:sz w:val="22"/>
                <w14:ligatures w14:val="standardContextual"/>
              </w:rPr>
            </w:pPr>
          </w:p>
          <w:p w14:paraId="3A43DDC1" w14:textId="77777777" w:rsidR="0051425D" w:rsidRDefault="0051425D" w:rsidP="00101A7D">
            <w:pPr>
              <w:rPr>
                <w:rFonts w:eastAsia="Calibri" w:cs="Arial"/>
                <w:kern w:val="2"/>
                <w:sz w:val="22"/>
                <w14:ligatures w14:val="standardContextual"/>
              </w:rPr>
            </w:pPr>
            <w:r w:rsidRPr="00103121">
              <w:rPr>
                <w:rFonts w:eastAsia="Calibri" w:cs="Arial"/>
                <w:b/>
                <w:bCs/>
                <w:kern w:val="2"/>
                <w:sz w:val="22"/>
                <w14:ligatures w14:val="standardContextual"/>
              </w:rPr>
              <w:t>Iran</w:t>
            </w:r>
            <w:r>
              <w:rPr>
                <w:rFonts w:eastAsia="Calibri" w:cs="Arial"/>
                <w:kern w:val="2"/>
                <w:sz w:val="22"/>
                <w14:ligatures w14:val="standardContextual"/>
              </w:rPr>
              <w:t xml:space="preserve">: </w:t>
            </w:r>
            <w:r w:rsidRPr="00DC3815">
              <w:rPr>
                <w:rFonts w:eastAsia="Calibri" w:cs="Arial"/>
                <w:kern w:val="2"/>
                <w:sz w:val="22"/>
                <w14:ligatures w14:val="standardContextual"/>
              </w:rPr>
              <w:t>Der Iran lehnt die Zweistaatenlösung ab und unterstützt stattdessen die Idee eines einzigen palästinensischen Staates, der das gesamte historische Palästina umfasst, einschließlich des heutigen Staats Israels.</w:t>
            </w:r>
            <w:r>
              <w:rPr>
                <w:rFonts w:eastAsia="Calibri" w:cs="Arial"/>
                <w:kern w:val="2"/>
                <w:sz w:val="22"/>
                <w14:ligatures w14:val="standardContextual"/>
              </w:rPr>
              <w:t xml:space="preserve"> Dies liegt vor allem daran, dass der Iran das Existenzrecht Israels generell anzweifelt und nicht anerkennt. </w:t>
            </w:r>
          </w:p>
          <w:p w14:paraId="363D5C87" w14:textId="721615AA" w:rsidR="00101A7D" w:rsidRPr="00027137" w:rsidRDefault="00101A7D" w:rsidP="00101A7D">
            <w:pPr>
              <w:pStyle w:val="ekvgrundtexthalbe"/>
              <w:rPr>
                <w:rStyle w:val="ekvnummerierung"/>
                <w:rFonts w:eastAsia="Calibri" w:cs="Arial"/>
                <w:b w:val="0"/>
                <w:kern w:val="2"/>
                <w:sz w:val="22"/>
                <w14:ligatures w14:val="standardContextual"/>
              </w:rPr>
            </w:pPr>
          </w:p>
        </w:tc>
      </w:tr>
    </w:tbl>
    <w:p w14:paraId="66323899" w14:textId="77777777" w:rsidR="0051425D" w:rsidRDefault="0051425D" w:rsidP="0051425D">
      <w:pPr>
        <w:pStyle w:val="ekvaufzhlung"/>
        <w:ind w:left="720" w:firstLine="0"/>
      </w:pPr>
    </w:p>
    <w:p w14:paraId="637CD517" w14:textId="77777777" w:rsidR="0051425D" w:rsidRDefault="0051425D" w:rsidP="0051425D">
      <w:pPr>
        <w:pStyle w:val="ekvaufzhlung"/>
        <w:numPr>
          <w:ilvl w:val="0"/>
          <w:numId w:val="1"/>
        </w:numPr>
      </w:pPr>
      <w:r>
        <w:t>Fassen Sie die wesentlichen Punkte einer möglichen Zweistaatenlösung zusammen (M1).</w:t>
      </w:r>
    </w:p>
    <w:p w14:paraId="4707B117" w14:textId="77777777" w:rsidR="0051425D" w:rsidRDefault="0051425D" w:rsidP="0051425D">
      <w:pPr>
        <w:pStyle w:val="ekvaufzhlung"/>
        <w:numPr>
          <w:ilvl w:val="0"/>
          <w:numId w:val="1"/>
        </w:numPr>
      </w:pPr>
      <w:r>
        <w:t xml:space="preserve">Erklären Sie mithilfe von M2, warum eine Zweistaatenlösung so schwierig umzusetzen ist. </w:t>
      </w:r>
    </w:p>
    <w:p w14:paraId="0D21A21D" w14:textId="77777777" w:rsidR="0051425D" w:rsidRDefault="0051425D" w:rsidP="0051425D">
      <w:pPr>
        <w:pStyle w:val="ekvaufzhlung"/>
        <w:numPr>
          <w:ilvl w:val="0"/>
          <w:numId w:val="1"/>
        </w:numPr>
      </w:pPr>
      <w:r>
        <w:t xml:space="preserve">Diskutieren Sie auf Basis der Ergebnisse der Konfliktanalyse die Frage, ob sie eine Lösung des Nahostkonflikts in naher Zukunft für wahrscheinlich halten. </w:t>
      </w:r>
    </w:p>
    <w:p w14:paraId="48EA6B7F" w14:textId="0AE1744D" w:rsidR="00901B13" w:rsidRPr="000E200F" w:rsidRDefault="0051425D" w:rsidP="000E200F">
      <w:pPr>
        <w:pStyle w:val="ekvaufzhlung"/>
        <w:numPr>
          <w:ilvl w:val="0"/>
          <w:numId w:val="1"/>
        </w:numPr>
      </w:pPr>
      <w:r>
        <w:t>Entwickeln Sie in Kleingruppen alternative Lösungsmöglichkeiten des Nahostkonflikts und diskutieren Sie diese anschließend im Plenum kritisch.</w:t>
      </w:r>
    </w:p>
    <w:sectPr w:rsidR="00901B13" w:rsidRPr="000E200F" w:rsidSect="0051425D">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179F8" w14:textId="77777777" w:rsidR="0051425D" w:rsidRDefault="0051425D" w:rsidP="003C599D">
      <w:pPr>
        <w:spacing w:line="240" w:lineRule="auto"/>
      </w:pPr>
      <w:r>
        <w:separator/>
      </w:r>
    </w:p>
  </w:endnote>
  <w:endnote w:type="continuationSeparator" w:id="0">
    <w:p w14:paraId="20DACF4E" w14:textId="77777777" w:rsidR="0051425D" w:rsidRDefault="0051425D"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64DED7FE" w14:textId="77777777" w:rsidTr="00503EE6">
      <w:trPr>
        <w:trHeight w:hRule="exact" w:val="680"/>
      </w:trPr>
      <w:tc>
        <w:tcPr>
          <w:tcW w:w="864" w:type="dxa"/>
          <w:noWrap/>
        </w:tcPr>
        <w:p w14:paraId="4994A878" w14:textId="77777777" w:rsidR="002659C5" w:rsidRPr="00913892" w:rsidRDefault="002659C5" w:rsidP="005E4C30">
          <w:pPr>
            <w:pStyle w:val="ekvpaginabild"/>
            <w:jc w:val="both"/>
          </w:pPr>
          <w:r w:rsidRPr="00913892">
            <w:rPr>
              <w:noProof/>
              <w:lang w:eastAsia="de-DE"/>
            </w:rPr>
            <w:drawing>
              <wp:inline distT="0" distB="0" distL="0" distR="0" wp14:anchorId="3841A27A" wp14:editId="4902F245">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70FE30D" w14:textId="15FB6878" w:rsidR="002659C5" w:rsidRPr="00913892" w:rsidRDefault="002659C5" w:rsidP="00503EE6">
          <w:pPr>
            <w:pStyle w:val="ekvpagina"/>
          </w:pPr>
          <w:r w:rsidRPr="00913892">
            <w:t xml:space="preserve">© Ernst Klett Verlag GmbH, </w:t>
          </w:r>
          <w:r w:rsidR="00CF40E8">
            <w:t>Stuttgart 20</w:t>
          </w:r>
          <w:r w:rsidR="0051425D">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73661D4" w14:textId="14732368" w:rsidR="002659C5" w:rsidRPr="00913892" w:rsidRDefault="000E200F" w:rsidP="000E200F">
          <w:pPr>
            <w:pStyle w:val="ekvquelle"/>
          </w:pPr>
          <w:r w:rsidRPr="000E200F">
            <w:rPr>
              <w:rStyle w:val="ekvquellefett"/>
            </w:rPr>
            <w:t>Text:</w:t>
          </w:r>
          <w:r>
            <w:t xml:space="preserve"> </w:t>
          </w:r>
          <w:r w:rsidR="0051425D">
            <w:t>Daniel Fliesen</w:t>
          </w:r>
        </w:p>
      </w:tc>
      <w:tc>
        <w:tcPr>
          <w:tcW w:w="813" w:type="dxa"/>
        </w:tcPr>
        <w:p w14:paraId="6C53C5F9" w14:textId="77777777" w:rsidR="002659C5" w:rsidRPr="00913892" w:rsidRDefault="002659C5" w:rsidP="00913892">
          <w:pPr>
            <w:pStyle w:val="ekvpagina"/>
          </w:pPr>
        </w:p>
      </w:tc>
    </w:tr>
  </w:tbl>
  <w:p w14:paraId="541112E6"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BFA02" w14:textId="77777777" w:rsidR="0051425D" w:rsidRDefault="0051425D" w:rsidP="003C599D">
      <w:pPr>
        <w:spacing w:line="240" w:lineRule="auto"/>
      </w:pPr>
      <w:r>
        <w:separator/>
      </w:r>
    </w:p>
  </w:footnote>
  <w:footnote w:type="continuationSeparator" w:id="0">
    <w:p w14:paraId="69376731" w14:textId="77777777" w:rsidR="0051425D" w:rsidRDefault="0051425D"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7C6F9029" w14:textId="77777777" w:rsidTr="00431E62">
      <w:trPr>
        <w:trHeight w:hRule="exact" w:val="510"/>
      </w:trPr>
      <w:tc>
        <w:tcPr>
          <w:tcW w:w="818" w:type="dxa"/>
          <w:tcBorders>
            <w:top w:val="nil"/>
            <w:bottom w:val="nil"/>
            <w:right w:val="nil"/>
          </w:tcBorders>
          <w:noWrap/>
          <w:vAlign w:val="bottom"/>
        </w:tcPr>
        <w:p w14:paraId="59FA73FE" w14:textId="77777777" w:rsidR="00901B13" w:rsidRPr="00AE65F6" w:rsidRDefault="00901B13" w:rsidP="00901B13"/>
      </w:tc>
      <w:tc>
        <w:tcPr>
          <w:tcW w:w="3856" w:type="dxa"/>
          <w:tcBorders>
            <w:top w:val="nil"/>
            <w:left w:val="nil"/>
            <w:bottom w:val="nil"/>
            <w:right w:val="nil"/>
          </w:tcBorders>
          <w:noWrap/>
          <w:vAlign w:val="bottom"/>
        </w:tcPr>
        <w:p w14:paraId="7840B00F"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64AF3904"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312B3B2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6289F653" w14:textId="77777777" w:rsidR="00901B13" w:rsidRPr="007C1230" w:rsidRDefault="00901B13" w:rsidP="00901B13">
          <w:pPr>
            <w:pStyle w:val="ekvkvnummer"/>
          </w:pPr>
        </w:p>
      </w:tc>
      <w:tc>
        <w:tcPr>
          <w:tcW w:w="883" w:type="dxa"/>
          <w:tcBorders>
            <w:top w:val="nil"/>
            <w:left w:val="nil"/>
            <w:bottom w:val="nil"/>
          </w:tcBorders>
          <w:noWrap/>
          <w:vAlign w:val="bottom"/>
        </w:tcPr>
        <w:p w14:paraId="61BBCB35" w14:textId="77777777" w:rsidR="00901B13" w:rsidRPr="007636A0" w:rsidRDefault="00901B13" w:rsidP="00901B13">
          <w:pPr>
            <w:pStyle w:val="ekvkapitel"/>
            <w:rPr>
              <w:color w:val="FFFFFF" w:themeColor="background1"/>
            </w:rPr>
          </w:pPr>
        </w:p>
      </w:tc>
    </w:tr>
    <w:tr w:rsidR="00901B13" w:rsidRPr="00BF17F2" w14:paraId="652DEE5D"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5EFA61EA"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468B32F0" w14:textId="77777777" w:rsidR="00901B13" w:rsidRPr="00BF17F2" w:rsidRDefault="00901B13" w:rsidP="00901B13">
          <w:pPr>
            <w:rPr>
              <w:color w:val="FFFFFF" w:themeColor="background1"/>
            </w:rPr>
          </w:pPr>
        </w:p>
      </w:tc>
    </w:tr>
  </w:tbl>
  <w:p w14:paraId="2E1E4313"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7A71"/>
    <w:multiLevelType w:val="hybridMultilevel"/>
    <w:tmpl w:val="EF4E0B20"/>
    <w:lvl w:ilvl="0" w:tplc="AA843958">
      <w:start w:val="1"/>
      <w:numFmt w:val="decimal"/>
      <w:lvlText w:val="%1"/>
      <w:lvlJc w:val="left"/>
      <w:pPr>
        <w:ind w:left="360" w:hanging="360"/>
      </w:pPr>
      <w:rPr>
        <w:rFonts w:hint="default"/>
        <w:b/>
        <w:sz w:val="24"/>
      </w:rPr>
    </w:lvl>
    <w:lvl w:ilvl="1" w:tplc="296C88EC">
      <w:start w:val="1"/>
      <w:numFmt w:val="lowerLetter"/>
      <w:lvlText w:val="%2."/>
      <w:lvlJc w:val="left"/>
      <w:pPr>
        <w:ind w:left="1080" w:hanging="360"/>
      </w:pPr>
      <w:rPr>
        <w:b/>
        <w:bCs/>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94395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25D"/>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1A7D"/>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E508F"/>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425D"/>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6B6"/>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04C8"/>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636B9"/>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F347F"/>
  <w15:chartTrackingRefBased/>
  <w15:docId w15:val="{9D23ED58-FE74-475F-95ED-A46626C46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51425D"/>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852</Words>
  <Characters>5370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Armin Häberle</cp:lastModifiedBy>
  <cp:revision>3</cp:revision>
  <cp:lastPrinted>2016-12-23T16:36:00Z</cp:lastPrinted>
  <dcterms:created xsi:type="dcterms:W3CDTF">2024-04-26T07:08:00Z</dcterms:created>
  <dcterms:modified xsi:type="dcterms:W3CDTF">2024-04-29T06:53:00Z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