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4862C" w14:textId="47B19216" w:rsidR="00A16938" w:rsidRDefault="00A16938" w:rsidP="00A16938">
      <w:pPr>
        <w:pStyle w:val="ekvue2arial"/>
      </w:pPr>
      <w:r>
        <w:t>Konfliktanalyse Teil 4: Mittel zur Durchsetzung der Interessen</w:t>
      </w:r>
    </w:p>
    <w:p w14:paraId="30FCAA04" w14:textId="77777777" w:rsidR="00A16938" w:rsidRDefault="00A16938" w:rsidP="00A16938">
      <w:pPr>
        <w:rPr>
          <w:rFonts w:eastAsia="Calibri" w:cs="Arial"/>
          <w:kern w:val="2"/>
          <w:sz w:val="22"/>
          <w14:ligatures w14:val="standardContextual"/>
        </w:rPr>
      </w:pPr>
    </w:p>
    <w:p w14:paraId="6DF6A81C" w14:textId="06829788" w:rsidR="00A16938" w:rsidRDefault="00A16938" w:rsidP="00385623">
      <w:r w:rsidRPr="0021483D">
        <w:t>Der langwierige und komplexe Nahostkonflikt zwischen den Palästinensern und Israel wird von beiden Seiten mit verschiedenen Mitteln geführt, die politische, militärische und zivile Elemente umfassen. Diese Mittel spiegeln die Vielschichtigkeit und die tief verwurzelten Spannungen in der Region wider.</w:t>
      </w:r>
      <w:r>
        <w:t xml:space="preserve"> Die hier vorgestellten Mittel bilden also nur einen Ausschnitt des komplexen Gesamtbild</w:t>
      </w:r>
      <w:r w:rsidR="00510B9F">
        <w:t>e</w:t>
      </w:r>
      <w:r>
        <w:t xml:space="preserve">s. </w:t>
      </w:r>
    </w:p>
    <w:p w14:paraId="2A9C320F" w14:textId="77777777" w:rsidR="00A16938" w:rsidRDefault="00A16938" w:rsidP="00A16938">
      <w:pPr>
        <w:rPr>
          <w:rFonts w:eastAsia="Calibri" w:cs="Arial"/>
          <w:kern w:val="2"/>
          <w:sz w:val="22"/>
          <w14:ligatures w14:val="standardContextual"/>
        </w:rPr>
      </w:pPr>
    </w:p>
    <w:p w14:paraId="453934E7" w14:textId="77777777" w:rsidR="00A16938" w:rsidRPr="00A90055" w:rsidRDefault="00A16938" w:rsidP="00A16938">
      <w:pPr>
        <w:pStyle w:val="ekvue3arial"/>
      </w:pPr>
      <w:r w:rsidRPr="0039790F">
        <w:rPr>
          <w:shd w:val="clear" w:color="auto" w:fill="D0CECE" w:themeFill="background2" w:themeFillShade="E6"/>
        </w:rPr>
        <w:t>M1</w:t>
      </w:r>
      <w:r w:rsidRPr="00A90055">
        <w:t xml:space="preserve"> Die Mittel der Palästinenser</w:t>
      </w:r>
    </w:p>
    <w:p w14:paraId="3EAF5863" w14:textId="77777777" w:rsidR="00A16938" w:rsidRDefault="00A16938" w:rsidP="00A16938">
      <w:pPr>
        <w:pStyle w:val="ekvaufzhlung"/>
        <w:ind w:left="0" w:firstLine="0"/>
        <w:rPr>
          <w:b/>
          <w:bCs/>
        </w:rPr>
      </w:pPr>
    </w:p>
    <w:tbl>
      <w:tblPr>
        <w:tblStyle w:val="Tabellenraster"/>
        <w:tblW w:w="0" w:type="auto"/>
        <w:tblInd w:w="-5" w:type="dxa"/>
        <w:tblLook w:val="04A0" w:firstRow="1" w:lastRow="0" w:firstColumn="1" w:lastColumn="0" w:noHBand="0" w:noVBand="1"/>
      </w:tblPr>
      <w:tblGrid>
        <w:gridCol w:w="9349"/>
      </w:tblGrid>
      <w:tr w:rsidR="00A16938" w:rsidRPr="000F4535" w14:paraId="5E8FE0A5" w14:textId="77777777" w:rsidTr="001B1DE6">
        <w:tc>
          <w:tcPr>
            <w:tcW w:w="9349" w:type="dxa"/>
          </w:tcPr>
          <w:p w14:paraId="619F351D" w14:textId="2340CAD3" w:rsidR="00A16938" w:rsidRPr="00A16938" w:rsidRDefault="00A16938" w:rsidP="00A16938">
            <w:pPr>
              <w:rPr>
                <w:rStyle w:val="ekvfett"/>
              </w:rPr>
            </w:pPr>
            <w:r w:rsidRPr="00A16938">
              <w:rPr>
                <w:rStyle w:val="ekvfett"/>
              </w:rPr>
              <w:t>Politische Diplomatie und diplomatische Bemühungen um Anerkennung:</w:t>
            </w:r>
          </w:p>
          <w:p w14:paraId="3A636A7A" w14:textId="1BA5BAAA" w:rsidR="00A16938" w:rsidRDefault="00A16938" w:rsidP="00A16938">
            <w:r w:rsidRPr="0021483D">
              <w:t>Auf politischer Ebene setzen die Palästinenser auf diplomatische Bemühungen, um internationale Unterstützung für ihre Sache zu gewinnen. Dies umfasst den Versuch, Resolutionen in internationalen Organisationen</w:t>
            </w:r>
            <w:r>
              <w:t>,</w:t>
            </w:r>
            <w:r w:rsidRPr="0021483D">
              <w:t xml:space="preserve"> </w:t>
            </w:r>
            <w:r>
              <w:t xml:space="preserve">wie etwa der UN, </w:t>
            </w:r>
            <w:r w:rsidRPr="0021483D">
              <w:t>zu fördern</w:t>
            </w:r>
            <w:r>
              <w:t>,</w:t>
            </w:r>
            <w:r w:rsidRPr="0021483D">
              <w:t xml:space="preserve"> und eine breitere Anerkennung ihres Staatswunsches zu erreichen</w:t>
            </w:r>
            <w:r>
              <w:t xml:space="preserve">. Dabei bauen sie auch auf die Unterstützung von Katar oder der Türkei. Des Weiteren versuchen die </w:t>
            </w:r>
            <w:r w:rsidRPr="00E51E77">
              <w:t>Palästinenser, durch internationale Anerkennung Druck auf Israel auszuüben. Die Ausrufung eines eigenen Staates und die Beantragung der Mitgliedschaft in internationalen Organisationen sind Teil dieser Bemühungen.</w:t>
            </w:r>
          </w:p>
          <w:p w14:paraId="12F89CD2" w14:textId="77777777" w:rsidR="00A16938" w:rsidRPr="0021483D" w:rsidRDefault="00A16938" w:rsidP="001B1DE6">
            <w:pPr>
              <w:rPr>
                <w:rFonts w:eastAsia="Calibri" w:cs="Arial"/>
                <w:kern w:val="2"/>
                <w:sz w:val="22"/>
                <w14:ligatures w14:val="standardContextual"/>
              </w:rPr>
            </w:pPr>
          </w:p>
          <w:p w14:paraId="66A4D73D" w14:textId="77777777" w:rsidR="00A16938" w:rsidRPr="00A16938" w:rsidRDefault="00A16938" w:rsidP="001B1DE6">
            <w:pPr>
              <w:rPr>
                <w:rStyle w:val="ekvfett"/>
              </w:rPr>
            </w:pPr>
            <w:r w:rsidRPr="00A16938">
              <w:rPr>
                <w:rStyle w:val="ekvfett"/>
              </w:rPr>
              <w:t>Bewaffneter Widerstand:</w:t>
            </w:r>
          </w:p>
          <w:p w14:paraId="5DB94498" w14:textId="77777777" w:rsidR="00A16938" w:rsidRDefault="00A16938" w:rsidP="00A16938">
            <w:r w:rsidRPr="0021483D">
              <w:t xml:space="preserve">Historisch gesehen haben einige palästinensische Gruppen bewaffneten Widerstand gegen Israel geleistet. Dies beinhaltet den Einsatz von Guerillataktiken und terroristischen Aktivitäten. Einige dieser Gruppen, wie die </w:t>
            </w:r>
            <w:r w:rsidRPr="007909DF">
              <w:t>Al-Aqsa-Märtyrerbrigaden, sind mit politischen Fraktionen wie der Fatah verbunden. Die wichtigste Gruppe in diesem Bereich ist aber eindeutig die radikale Hamas, die</w:t>
            </w:r>
            <w:r>
              <w:t xml:space="preserve"> auch für die Terrorangriffe am 7. Oktober 2023 verantwortlich ist. Bei diesem Angriff wurden viele Israelis getötet und über 200 Menschen als Geiseln verschleppt. Bereits in den Jahren zuvor hat die Hamas regelmäßig mit Raketen geschossen, die man größtenteils aus dem Iran bezogen oder selbst produziert hat.</w:t>
            </w:r>
          </w:p>
          <w:p w14:paraId="6BDCC487" w14:textId="27895103" w:rsidR="00A16938" w:rsidRDefault="00A16938" w:rsidP="00A16938">
            <w:r>
              <w:t xml:space="preserve">Neben dem rein bewaffneten Widerstand setzt die Hamas auf Desinformation in sozialen Netzwerken und provoziert verstörende Bilder, etwa durch israelische Luftangriffe, um so die Unterstützung für Israel zu schmälern und gleichzeitig die eigene Unterstützung in der arabischen Welt zu vergrößern.  </w:t>
            </w:r>
          </w:p>
          <w:p w14:paraId="0F6C6103" w14:textId="77777777" w:rsidR="00A16938" w:rsidRPr="0021483D" w:rsidRDefault="00A16938" w:rsidP="001B1DE6">
            <w:pPr>
              <w:rPr>
                <w:rFonts w:eastAsia="Calibri" w:cs="Arial"/>
                <w:kern w:val="2"/>
                <w:sz w:val="22"/>
                <w14:ligatures w14:val="standardContextual"/>
              </w:rPr>
            </w:pPr>
          </w:p>
          <w:p w14:paraId="4BD26E34" w14:textId="77777777" w:rsidR="00A16938" w:rsidRPr="00A16938" w:rsidRDefault="00A16938" w:rsidP="00A16938">
            <w:pPr>
              <w:rPr>
                <w:rStyle w:val="ekvfett"/>
              </w:rPr>
            </w:pPr>
            <w:r w:rsidRPr="00A16938">
              <w:rPr>
                <w:rStyle w:val="ekvfett"/>
              </w:rPr>
              <w:t>Friedlicher Widerstand:</w:t>
            </w:r>
          </w:p>
          <w:p w14:paraId="7C5ADD44" w14:textId="77777777" w:rsidR="00B27390" w:rsidRDefault="00A16938" w:rsidP="00A16938">
            <w:r w:rsidRPr="0021483D">
              <w:t>Einige palästinensische Gruppen und Aktivisten setzen auf friedliche Formen des Widerstands, darunter Proteste, Sitzstreiks und ziviler Ungehorsam. Diese Bemühungen zielen darauf ab, die Aufmerksamkeit auf die palästinensische Sache zu lenken und Unterstützung auf internationaler Ebene zu mobilisieren.</w:t>
            </w:r>
          </w:p>
          <w:p w14:paraId="7AC48331" w14:textId="2F486DCC" w:rsidR="00A16938" w:rsidRDefault="00A16938" w:rsidP="00A16938">
            <w:r>
              <w:t>Einer der größten Proteste dieser Art war der „Marsch der Rückkehr“ im Jahr 2018</w:t>
            </w:r>
            <w:r w:rsidR="00DB6E9A">
              <w:t xml:space="preserve"> an der Grenze zwischen Israel und dem Gazastreifen. Die Demonstration sollte</w:t>
            </w:r>
            <w:r>
              <w:t xml:space="preserve"> an das Recht auf Rückkehr für palästinensische Geflüchtete und ihre Nachkommen in das israelische Staatsgebiet erinnern. </w:t>
            </w:r>
            <w:r w:rsidR="00B27390">
              <w:t>Der friedlich angedachte Protest entwickelte sich schließlich jedoch zu einer gewaltsamen Auseinandersetzung</w:t>
            </w:r>
            <w:r w:rsidR="00385623">
              <w:t xml:space="preserve"> zwischen bewaffneten Demonstranten und israelischen Soldaten. Auch die Hamas steuerte zu der Auseinandersetzung bei.</w:t>
            </w:r>
          </w:p>
          <w:p w14:paraId="2CFE65A0" w14:textId="77777777" w:rsidR="00A16938" w:rsidRPr="0021483D" w:rsidRDefault="00A16938" w:rsidP="001B1DE6">
            <w:pPr>
              <w:rPr>
                <w:rFonts w:eastAsia="Calibri" w:cs="Arial"/>
                <w:kern w:val="2"/>
                <w:sz w:val="22"/>
                <w14:ligatures w14:val="standardContextual"/>
              </w:rPr>
            </w:pPr>
          </w:p>
          <w:p w14:paraId="368D7AB3" w14:textId="77777777" w:rsidR="00A16938" w:rsidRPr="00385623" w:rsidRDefault="00A16938" w:rsidP="00385623">
            <w:pPr>
              <w:rPr>
                <w:rStyle w:val="ekvfett"/>
              </w:rPr>
            </w:pPr>
            <w:r w:rsidRPr="00385623">
              <w:rPr>
                <w:rStyle w:val="ekvfett"/>
              </w:rPr>
              <w:t>Rechtliche Schritte:</w:t>
            </w:r>
          </w:p>
          <w:p w14:paraId="29B6A2CA" w14:textId="77777777" w:rsidR="00A16938" w:rsidRPr="00027137" w:rsidRDefault="00A16938" w:rsidP="00385623">
            <w:pPr>
              <w:rPr>
                <w:rStyle w:val="ekvnummerierung"/>
                <w:rFonts w:eastAsia="Calibri" w:cs="Arial"/>
                <w:b w:val="0"/>
                <w:kern w:val="2"/>
                <w:sz w:val="22"/>
                <w14:ligatures w14:val="standardContextual"/>
              </w:rPr>
            </w:pPr>
            <w:r w:rsidRPr="0021483D">
              <w:t>Die Palästinenser haben rechtliche Schritte auf internationaler Ebene unternommen, insbesondere vor dem Internationalen Strafgerichtshof (ICC), um Israel für angebliche Verletzungen des Völkerrechts zur Verantwortung zu ziehen.</w:t>
            </w:r>
            <w:r>
              <w:t xml:space="preserve"> Problematisch aus Sicht der Palästinenser ist allerdings, dass Israel dem ICC die Zuständigkeit abspricht, da Palästina kein Staat sei. </w:t>
            </w:r>
          </w:p>
        </w:tc>
      </w:tr>
    </w:tbl>
    <w:p w14:paraId="50A9FBCC" w14:textId="6933062E" w:rsidR="00385623" w:rsidRDefault="00385623" w:rsidP="00A16938">
      <w:pPr>
        <w:pStyle w:val="ekvaufzhlung"/>
        <w:ind w:left="0" w:firstLine="0"/>
        <w:rPr>
          <w:b/>
          <w:bCs/>
        </w:rPr>
      </w:pPr>
    </w:p>
    <w:p w14:paraId="242DA37E" w14:textId="6581104A" w:rsidR="00A16938" w:rsidRDefault="00385623" w:rsidP="007909DF">
      <w:pPr>
        <w:pStyle w:val="ekvue3arial"/>
      </w:pPr>
      <w:r>
        <w:rPr>
          <w:bCs/>
        </w:rPr>
        <w:br w:type="column"/>
      </w:r>
      <w:r w:rsidR="00A16938" w:rsidRPr="00385623">
        <w:rPr>
          <w:shd w:val="clear" w:color="auto" w:fill="D0CECE" w:themeFill="background2" w:themeFillShade="E6"/>
        </w:rPr>
        <w:lastRenderedPageBreak/>
        <w:t>M</w:t>
      </w:r>
      <w:r w:rsidRPr="00385623">
        <w:rPr>
          <w:shd w:val="clear" w:color="auto" w:fill="D0CECE" w:themeFill="background2" w:themeFillShade="E6"/>
        </w:rPr>
        <w:t>2</w:t>
      </w:r>
      <w:r w:rsidR="00A16938" w:rsidRPr="002F62D5">
        <w:t xml:space="preserve"> </w:t>
      </w:r>
      <w:r w:rsidR="00A16938" w:rsidRPr="00B24D1F">
        <w:t xml:space="preserve">Die </w:t>
      </w:r>
      <w:r w:rsidR="00A16938">
        <w:t>Mittel Israels</w:t>
      </w:r>
    </w:p>
    <w:p w14:paraId="05E5DF36" w14:textId="77777777" w:rsidR="00A16938" w:rsidRDefault="00A16938" w:rsidP="00A16938">
      <w:pPr>
        <w:pStyle w:val="ekvaufzhlung"/>
        <w:rPr>
          <w:b/>
          <w:bCs/>
        </w:rPr>
      </w:pPr>
    </w:p>
    <w:tbl>
      <w:tblPr>
        <w:tblStyle w:val="Tabellenraster"/>
        <w:tblW w:w="0" w:type="auto"/>
        <w:tblInd w:w="-5" w:type="dxa"/>
        <w:tblLook w:val="04A0" w:firstRow="1" w:lastRow="0" w:firstColumn="1" w:lastColumn="0" w:noHBand="0" w:noVBand="1"/>
      </w:tblPr>
      <w:tblGrid>
        <w:gridCol w:w="9349"/>
      </w:tblGrid>
      <w:tr w:rsidR="00A16938" w:rsidRPr="000F4535" w14:paraId="353D6F1B" w14:textId="77777777" w:rsidTr="001B1DE6">
        <w:tc>
          <w:tcPr>
            <w:tcW w:w="9349" w:type="dxa"/>
          </w:tcPr>
          <w:p w14:paraId="3E63D176" w14:textId="77777777" w:rsidR="00A16938" w:rsidRPr="00385623" w:rsidRDefault="00A16938" w:rsidP="00385623">
            <w:pPr>
              <w:rPr>
                <w:rStyle w:val="ekvfett"/>
              </w:rPr>
            </w:pPr>
            <w:r w:rsidRPr="00385623">
              <w:rPr>
                <w:rStyle w:val="ekvfett"/>
              </w:rPr>
              <w:t>Militärische Verteidigung:</w:t>
            </w:r>
          </w:p>
          <w:p w14:paraId="1B12A74E" w14:textId="54AC91CE" w:rsidR="00A16938" w:rsidRDefault="00A16938" w:rsidP="00385623">
            <w:r w:rsidRPr="00A90055">
              <w:t>Israel setzt auf eine hochentwickelte und schlagkräftige Armee, um seine Sicherheit zu gewährleisten. Dies beinhaltet den Schutz der Landesgrenzen und die Reaktion auf Bedrohungen aus der Region.</w:t>
            </w:r>
            <w:r>
              <w:t xml:space="preserve"> Wesentlicher Bestandteil dieses Schutzes ist das israelische Raketenabwehrsystem, welches aus verschiedenen Ebenen besteht</w:t>
            </w:r>
            <w:r w:rsidR="00385623">
              <w:t>. D</w:t>
            </w:r>
            <w:r>
              <w:t xml:space="preserve">as bekannteste dieser Systeme ist der so genannte Iron Dome. </w:t>
            </w:r>
            <w:r w:rsidRPr="00A90055">
              <w:t xml:space="preserve">Als Reaktion auf Raketenangriffe und terroristische Aktivitäten hat Israel </w:t>
            </w:r>
            <w:r>
              <w:t xml:space="preserve">immer wieder </w:t>
            </w:r>
            <w:r w:rsidRPr="00A90055">
              <w:t xml:space="preserve">Luft- und Artillerieangriffe durchgeführt, insbesondere im Gazastreifen. Diese Maßnahmen sind Gegenstand internationaler Kontroversen und </w:t>
            </w:r>
            <w:r w:rsidR="007909DF">
              <w:t xml:space="preserve">lösen vielfach </w:t>
            </w:r>
            <w:r w:rsidRPr="00A90055">
              <w:t>Menschenrechtsbedenken</w:t>
            </w:r>
            <w:r w:rsidR="007909DF">
              <w:t xml:space="preserve"> aus</w:t>
            </w:r>
            <w:r w:rsidRPr="00A90055">
              <w:t>.</w:t>
            </w:r>
            <w:r>
              <w:t xml:space="preserve"> Vor allem die Bodenoffensive als Reaktion auf die Anschläge vom 7.Oktober 2023 stehen unter scharfer Kritik, da es im Zuge dieser Operation zu einer hohen Zahl ziviler Opfer </w:t>
            </w:r>
            <w:r w:rsidR="007909DF">
              <w:t>kam</w:t>
            </w:r>
            <w:r>
              <w:t xml:space="preserve">. </w:t>
            </w:r>
          </w:p>
          <w:p w14:paraId="35A92B96" w14:textId="77777777" w:rsidR="00A16938" w:rsidRPr="00A90055" w:rsidRDefault="00A16938" w:rsidP="001B1DE6">
            <w:pPr>
              <w:rPr>
                <w:sz w:val="22"/>
              </w:rPr>
            </w:pPr>
          </w:p>
          <w:p w14:paraId="35F9E193" w14:textId="77777777" w:rsidR="00A16938" w:rsidRPr="00385623" w:rsidRDefault="00A16938" w:rsidP="00385623">
            <w:pPr>
              <w:rPr>
                <w:rStyle w:val="ekvfett"/>
              </w:rPr>
            </w:pPr>
            <w:r w:rsidRPr="00385623">
              <w:rPr>
                <w:rStyle w:val="ekvfett"/>
              </w:rPr>
              <w:t>Sicherheitsmaßnahmen und Sperranlagen:</w:t>
            </w:r>
          </w:p>
          <w:p w14:paraId="5DF55386" w14:textId="0A89D41B" w:rsidR="00A16938" w:rsidRDefault="00A16938" w:rsidP="00385623">
            <w:r w:rsidRPr="00A90055">
              <w:t>Israel hat umstrittene Sicherheitsmaßnahmen ergriffen, darunter den Bau von Sperranlagen und Barrieren, um sich vor potenziellen terroristischen Bedrohungen zu schützen. Diese Maßnahmen haben jedoch zu Spannungen und Kontroversen geführt</w:t>
            </w:r>
            <w:r>
              <w:t xml:space="preserve"> und wurden am 7. Oktober 2023 an mehreren Stellen von Hamas-Terroristen überwunden. Gleichzeitig riegeln diese Sperranlagen den Gazastreifen komplett ab, sodass ein Zugang nur über israelisch</w:t>
            </w:r>
            <w:r w:rsidR="007909DF">
              <w:t>e</w:t>
            </w:r>
            <w:r>
              <w:t xml:space="preserve"> Checkpoints möglich ist.</w:t>
            </w:r>
          </w:p>
          <w:p w14:paraId="27922435" w14:textId="77777777" w:rsidR="00A16938" w:rsidRPr="00A90055" w:rsidRDefault="00A16938" w:rsidP="001B1DE6">
            <w:pPr>
              <w:rPr>
                <w:sz w:val="22"/>
              </w:rPr>
            </w:pPr>
          </w:p>
          <w:p w14:paraId="2C83C7A4" w14:textId="77777777" w:rsidR="00A16938" w:rsidRPr="00385623" w:rsidRDefault="00A16938" w:rsidP="00385623">
            <w:pPr>
              <w:rPr>
                <w:rStyle w:val="ekvfett"/>
              </w:rPr>
            </w:pPr>
            <w:r w:rsidRPr="00385623">
              <w:rPr>
                <w:rStyle w:val="ekvfett"/>
              </w:rPr>
              <w:t>Siedlungsbau und Annexionspolitik:</w:t>
            </w:r>
          </w:p>
          <w:p w14:paraId="3BE3F6F1" w14:textId="45ECFAB6" w:rsidR="00A16938" w:rsidRDefault="00A16938" w:rsidP="00385623">
            <w:r w:rsidRPr="00A90055">
              <w:t>Der Bau von Siedlungen in den besetzten Gebieten und die Annexionspolitik haben zu anhaltenden Spannungen beigetragen. Dies wird von der internationalen Gemeinschaft, einschließlich der UN, vielfach kritisiert</w:t>
            </w:r>
            <w:r w:rsidR="007909DF">
              <w:t>. D</w:t>
            </w:r>
            <w:r>
              <w:t xml:space="preserve">ennoch planen besonders Hardliner in der israelischen Regierung weitere Siedlungsprojekte. Anfang 2024 forderten etwa der rechtsextreme Polizeiminister Itamar Ben-Gvir eine Rückkehr israelischer Siedler in den Gazastreifen, aus dem man sich 2005 zurückgezogen hatte. Bereits zuvor hatte Ministerpräsident Benjamin Netanjahu wiederholt eine Besiedlung des Jordantals ins Spiel gebracht. </w:t>
            </w:r>
          </w:p>
          <w:p w14:paraId="3385479B" w14:textId="77777777" w:rsidR="00A16938" w:rsidRPr="00A90055" w:rsidRDefault="00A16938" w:rsidP="001B1DE6">
            <w:pPr>
              <w:rPr>
                <w:sz w:val="22"/>
              </w:rPr>
            </w:pPr>
          </w:p>
          <w:p w14:paraId="1B18C6CC" w14:textId="77777777" w:rsidR="00A16938" w:rsidRPr="00385623" w:rsidRDefault="00A16938" w:rsidP="00385623">
            <w:pPr>
              <w:rPr>
                <w:rStyle w:val="ekvfett"/>
              </w:rPr>
            </w:pPr>
            <w:r w:rsidRPr="00385623">
              <w:rPr>
                <w:rStyle w:val="ekvfett"/>
              </w:rPr>
              <w:t>Diplomatische Bemühungen:</w:t>
            </w:r>
          </w:p>
          <w:p w14:paraId="3510613F" w14:textId="4E04210E" w:rsidR="00A16938" w:rsidRDefault="00A16938" w:rsidP="00385623">
            <w:r w:rsidRPr="00A90055">
              <w:t>Israel engagiert sich auch auf diplomatischer Ebene, um seine Perspektive im internationalen Kontext zu verteidigen. Dies schließt bilaterale Beziehungen, Handelsabkommen und politische Allianzen ein.</w:t>
            </w:r>
            <w:r>
              <w:t xml:space="preserve"> Wichtigster Partner in diesem Kontext sind die USA, auch wenn die US-Administration sich Anfang 2024 zunehmend kritisch über die israelische Bodenoffensive im Gazastreifen äußert</w:t>
            </w:r>
            <w:r w:rsidR="007909DF">
              <w:t>e</w:t>
            </w:r>
            <w:r>
              <w:t xml:space="preserve">. </w:t>
            </w:r>
          </w:p>
          <w:p w14:paraId="506F7571" w14:textId="77777777" w:rsidR="00A16938" w:rsidRPr="00A90055" w:rsidRDefault="00A16938" w:rsidP="001B1DE6">
            <w:pPr>
              <w:rPr>
                <w:sz w:val="22"/>
              </w:rPr>
            </w:pPr>
          </w:p>
          <w:p w14:paraId="5EF95BCC" w14:textId="77777777" w:rsidR="00A16938" w:rsidRPr="00385623" w:rsidRDefault="00A16938" w:rsidP="00385623">
            <w:pPr>
              <w:rPr>
                <w:rStyle w:val="ekvfett"/>
              </w:rPr>
            </w:pPr>
            <w:r w:rsidRPr="00385623">
              <w:rPr>
                <w:rStyle w:val="ekvfett"/>
              </w:rPr>
              <w:t>Humanitäre Hilfe und Infrastrukturprojekte:</w:t>
            </w:r>
          </w:p>
          <w:p w14:paraId="1DF0AD84" w14:textId="04F4A0D8" w:rsidR="00A16938" w:rsidRPr="00E36D7C" w:rsidRDefault="00A16938" w:rsidP="00E36D7C">
            <w:pPr>
              <w:rPr>
                <w:rStyle w:val="ekvnummerierung"/>
                <w:b w:val="0"/>
                <w:sz w:val="19"/>
              </w:rPr>
            </w:pPr>
            <w:r w:rsidRPr="00A90055">
              <w:t xml:space="preserve">Neben den Sicherheitsmaßnahmen hat Israel auch humanitäre Hilfe und Infrastrukturprojekte in palästinensischen Gebieten unterstützt. Diese Bemühungen sollen dazu beitragen, die Lebensbedingungen zu verbessern und </w:t>
            </w:r>
            <w:r w:rsidR="007909DF">
              <w:t xml:space="preserve">die </w:t>
            </w:r>
            <w:r w:rsidRPr="00A90055">
              <w:t>wirtschaftliche Entwicklung zu fördern.</w:t>
            </w:r>
            <w:r>
              <w:t xml:space="preserve"> </w:t>
            </w:r>
          </w:p>
        </w:tc>
      </w:tr>
    </w:tbl>
    <w:p w14:paraId="684E4E51" w14:textId="77777777" w:rsidR="00A16938" w:rsidRDefault="00A16938" w:rsidP="00A16938">
      <w:pPr>
        <w:pStyle w:val="ekvaufzhlung"/>
        <w:ind w:left="0" w:firstLine="0"/>
        <w:rPr>
          <w:rStyle w:val="ekvnummerierung"/>
        </w:rPr>
      </w:pPr>
    </w:p>
    <w:p w14:paraId="1F1F59F0" w14:textId="4ADFEDEA" w:rsidR="00A16938" w:rsidRDefault="005F5B0C" w:rsidP="005F5B0C">
      <w:pPr>
        <w:pStyle w:val="ekvaufzhlung"/>
      </w:pPr>
      <w:r w:rsidRPr="005F5B0C">
        <w:rPr>
          <w:rStyle w:val="ekvnummerierung"/>
        </w:rPr>
        <w:t>1</w:t>
      </w:r>
      <w:r>
        <w:tab/>
      </w:r>
      <w:r w:rsidR="007909DF">
        <w:t>Stelle</w:t>
      </w:r>
      <w:r w:rsidR="00A16938">
        <w:t xml:space="preserve"> die Mittel beider Seiten in Form einer tabellarischen Gegenüberstellung dar.</w:t>
      </w:r>
    </w:p>
    <w:p w14:paraId="08ADDB67" w14:textId="77777777" w:rsidR="005F5B0C" w:rsidRDefault="005F5B0C" w:rsidP="005F5B0C">
      <w:pPr>
        <w:pStyle w:val="ekvaufzhlung"/>
      </w:pPr>
    </w:p>
    <w:p w14:paraId="10C9FDDE" w14:textId="2381BCF6" w:rsidR="00A16938" w:rsidRDefault="005F5B0C" w:rsidP="005F5B0C">
      <w:pPr>
        <w:pStyle w:val="ekvaufzhlung"/>
      </w:pPr>
      <w:r w:rsidRPr="005F5B0C">
        <w:rPr>
          <w:rStyle w:val="ekvnummerierung"/>
        </w:rPr>
        <w:t>2</w:t>
      </w:r>
      <w:r>
        <w:tab/>
      </w:r>
      <w:r w:rsidR="00A16938">
        <w:t>Erläuter</w:t>
      </w:r>
      <w:r w:rsidR="007909DF">
        <w:t>e</w:t>
      </w:r>
      <w:r w:rsidR="00A16938">
        <w:t xml:space="preserve"> anhand der zur Verfügung stehenden Mittel, warum es sich um einen ungleichen Kampf handelt.</w:t>
      </w:r>
    </w:p>
    <w:p w14:paraId="44485B5D" w14:textId="77777777" w:rsidR="005F5B0C" w:rsidRDefault="005F5B0C" w:rsidP="005F5B0C">
      <w:pPr>
        <w:pStyle w:val="ekvaufzhlung"/>
      </w:pPr>
    </w:p>
    <w:p w14:paraId="51D3F810" w14:textId="7FDE3B33" w:rsidR="00901B13" w:rsidRPr="000E200F" w:rsidRDefault="005F5B0C" w:rsidP="005F5B0C">
      <w:pPr>
        <w:pStyle w:val="ekvaufzhlung"/>
      </w:pPr>
      <w:r w:rsidRPr="005F5B0C">
        <w:rPr>
          <w:rStyle w:val="ekvnummerierung"/>
        </w:rPr>
        <w:t>3</w:t>
      </w:r>
      <w:r>
        <w:tab/>
      </w:r>
      <w:r w:rsidR="00A16938">
        <w:t>Recherchier</w:t>
      </w:r>
      <w:r w:rsidR="007909DF">
        <w:t xml:space="preserve">t </w:t>
      </w:r>
      <w:r w:rsidR="00A16938">
        <w:t>Reaktionen auf die israelische Bodenoffensive in Gaza und diskutier</w:t>
      </w:r>
      <w:r w:rsidR="007909DF">
        <w:t>t</w:t>
      </w:r>
      <w:r w:rsidR="00A16938">
        <w:t xml:space="preserve"> diese kritisch.</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CB22F" w14:textId="77777777" w:rsidR="00A16938" w:rsidRDefault="00A16938" w:rsidP="003C599D">
      <w:pPr>
        <w:spacing w:line="240" w:lineRule="auto"/>
      </w:pPr>
      <w:r>
        <w:separator/>
      </w:r>
    </w:p>
  </w:endnote>
  <w:endnote w:type="continuationSeparator" w:id="0">
    <w:p w14:paraId="01DC98ED" w14:textId="77777777" w:rsidR="00A16938" w:rsidRDefault="00A16938"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92CBE42" w14:textId="77777777" w:rsidTr="00503EE6">
      <w:trPr>
        <w:trHeight w:hRule="exact" w:val="680"/>
      </w:trPr>
      <w:tc>
        <w:tcPr>
          <w:tcW w:w="864" w:type="dxa"/>
          <w:noWrap/>
        </w:tcPr>
        <w:p w14:paraId="3FFFD7B2" w14:textId="77777777" w:rsidR="002659C5" w:rsidRPr="00913892" w:rsidRDefault="002659C5" w:rsidP="005E4C30">
          <w:pPr>
            <w:pStyle w:val="ekvpaginabild"/>
            <w:jc w:val="both"/>
          </w:pPr>
          <w:r w:rsidRPr="00913892">
            <w:rPr>
              <w:noProof/>
              <w:lang w:eastAsia="de-DE"/>
            </w:rPr>
            <w:drawing>
              <wp:inline distT="0" distB="0" distL="0" distR="0" wp14:anchorId="14D3BF7F" wp14:editId="1A66279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5029836" w14:textId="024DB2EE" w:rsidR="002659C5" w:rsidRPr="00913892" w:rsidRDefault="002659C5" w:rsidP="00503EE6">
          <w:pPr>
            <w:pStyle w:val="ekvpagina"/>
          </w:pPr>
          <w:r w:rsidRPr="00913892">
            <w:t xml:space="preserve">© Ernst Klett Verlag GmbH, </w:t>
          </w:r>
          <w:r w:rsidR="00CF40E8">
            <w:t>Stuttgart 20</w:t>
          </w:r>
          <w:r w:rsidR="00385623">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0454DB8" w14:textId="57F5A383" w:rsidR="002659C5" w:rsidRPr="00913892" w:rsidRDefault="000E200F" w:rsidP="000E200F">
          <w:pPr>
            <w:pStyle w:val="ekvquelle"/>
          </w:pPr>
          <w:r w:rsidRPr="000E200F">
            <w:rPr>
              <w:rStyle w:val="ekvquellefett"/>
            </w:rPr>
            <w:t>Text:</w:t>
          </w:r>
          <w:r>
            <w:t xml:space="preserve"> </w:t>
          </w:r>
          <w:r w:rsidR="00385623">
            <w:t>Daniel Fliesen</w:t>
          </w:r>
        </w:p>
      </w:tc>
      <w:tc>
        <w:tcPr>
          <w:tcW w:w="813" w:type="dxa"/>
        </w:tcPr>
        <w:p w14:paraId="1DC351FB" w14:textId="77777777" w:rsidR="002659C5" w:rsidRPr="00913892" w:rsidRDefault="002659C5" w:rsidP="00913892">
          <w:pPr>
            <w:pStyle w:val="ekvpagina"/>
          </w:pPr>
        </w:p>
      </w:tc>
    </w:tr>
  </w:tbl>
  <w:p w14:paraId="748BCD07"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CC961" w14:textId="77777777" w:rsidR="00A16938" w:rsidRDefault="00A16938" w:rsidP="003C599D">
      <w:pPr>
        <w:spacing w:line="240" w:lineRule="auto"/>
      </w:pPr>
      <w:r>
        <w:separator/>
      </w:r>
    </w:p>
  </w:footnote>
  <w:footnote w:type="continuationSeparator" w:id="0">
    <w:p w14:paraId="26A289A0" w14:textId="77777777" w:rsidR="00A16938" w:rsidRDefault="00A16938"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B8AF676" w14:textId="77777777" w:rsidTr="00431E62">
      <w:trPr>
        <w:trHeight w:hRule="exact" w:val="510"/>
      </w:trPr>
      <w:tc>
        <w:tcPr>
          <w:tcW w:w="818" w:type="dxa"/>
          <w:tcBorders>
            <w:top w:val="nil"/>
            <w:bottom w:val="nil"/>
            <w:right w:val="nil"/>
          </w:tcBorders>
          <w:noWrap/>
          <w:vAlign w:val="bottom"/>
        </w:tcPr>
        <w:p w14:paraId="5E674A23" w14:textId="77777777" w:rsidR="00901B13" w:rsidRPr="00AE65F6" w:rsidRDefault="00901B13" w:rsidP="00901B13"/>
      </w:tc>
      <w:tc>
        <w:tcPr>
          <w:tcW w:w="3856" w:type="dxa"/>
          <w:tcBorders>
            <w:top w:val="nil"/>
            <w:left w:val="nil"/>
            <w:bottom w:val="nil"/>
            <w:right w:val="nil"/>
          </w:tcBorders>
          <w:noWrap/>
          <w:vAlign w:val="bottom"/>
        </w:tcPr>
        <w:p w14:paraId="3B93F9A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6DD10C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9DA447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5825C35" w14:textId="77777777" w:rsidR="00901B13" w:rsidRPr="007C1230" w:rsidRDefault="00901B13" w:rsidP="00901B13">
          <w:pPr>
            <w:pStyle w:val="ekvkvnummer"/>
          </w:pPr>
        </w:p>
      </w:tc>
      <w:tc>
        <w:tcPr>
          <w:tcW w:w="883" w:type="dxa"/>
          <w:tcBorders>
            <w:top w:val="nil"/>
            <w:left w:val="nil"/>
            <w:bottom w:val="nil"/>
          </w:tcBorders>
          <w:noWrap/>
          <w:vAlign w:val="bottom"/>
        </w:tcPr>
        <w:p w14:paraId="15182D35" w14:textId="77777777" w:rsidR="00901B13" w:rsidRPr="007636A0" w:rsidRDefault="00901B13" w:rsidP="00901B13">
          <w:pPr>
            <w:pStyle w:val="ekvkapitel"/>
            <w:rPr>
              <w:color w:val="FFFFFF" w:themeColor="background1"/>
            </w:rPr>
          </w:pPr>
        </w:p>
      </w:tc>
    </w:tr>
    <w:tr w:rsidR="00901B13" w:rsidRPr="00BF17F2" w14:paraId="5B54E495"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D1DED2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01FB44F" w14:textId="77777777" w:rsidR="00901B13" w:rsidRPr="00BF17F2" w:rsidRDefault="00901B13" w:rsidP="00901B13">
          <w:pPr>
            <w:rPr>
              <w:color w:val="FFFFFF" w:themeColor="background1"/>
            </w:rPr>
          </w:pPr>
        </w:p>
      </w:tc>
    </w:tr>
  </w:tbl>
  <w:p w14:paraId="62D2169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A71"/>
    <w:multiLevelType w:val="hybridMultilevel"/>
    <w:tmpl w:val="EF4E0B20"/>
    <w:lvl w:ilvl="0" w:tplc="AA843958">
      <w:start w:val="1"/>
      <w:numFmt w:val="decimal"/>
      <w:lvlText w:val="%1"/>
      <w:lvlJc w:val="left"/>
      <w:pPr>
        <w:ind w:left="720" w:hanging="360"/>
      </w:pPr>
      <w:rPr>
        <w:rFonts w:hint="default"/>
        <w:b/>
        <w:sz w:val="24"/>
      </w:rPr>
    </w:lvl>
    <w:lvl w:ilvl="1" w:tplc="296C88EC">
      <w:start w:val="1"/>
      <w:numFmt w:val="lowerLetter"/>
      <w:lvlText w:val="%2."/>
      <w:lvlJc w:val="left"/>
      <w:pPr>
        <w:ind w:left="1440" w:hanging="360"/>
      </w:pPr>
      <w:rPr>
        <w:b/>
        <w:b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4395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938"/>
    <w:rsid w:val="000040E2"/>
    <w:rsid w:val="0001210D"/>
    <w:rsid w:val="00013130"/>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6888"/>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85623"/>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B9F"/>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5B0C"/>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09DF"/>
    <w:rsid w:val="00794685"/>
    <w:rsid w:val="007A18E0"/>
    <w:rsid w:val="007A2F5A"/>
    <w:rsid w:val="007A5AA1"/>
    <w:rsid w:val="007C1230"/>
    <w:rsid w:val="007D186F"/>
    <w:rsid w:val="007D44DC"/>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6938"/>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078"/>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7390"/>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B6E9A"/>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6D7C"/>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12207"/>
  <w15:chartTrackingRefBased/>
  <w15:docId w15:val="{CCB5275E-CCF1-4860-8596-BC303CE5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A16938"/>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k40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5553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2024-02-14T07:54:00Z</dcterms:created>
  <dcterms:modified xsi:type="dcterms:W3CDTF">2024-02-14T11:31:00Z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